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Atbildīgā nozares ministrija  20 darba dienu laikā pēc tam, kad finansējuma saņēmējs ir iesniedzis projekta informāciju vadības informācijas sistēmā, veic iesniegtā investīcijas projekta informācijas izvērtēšanu atbilstoši šo noteikumu nosacījumiem un  Eiropas Parlamenta un Padomes 2018.gada 18.jūlija regulā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136.panta 1.punktā  noteiktiem izslēgšanas kritērijiem, tik tālu cik tas attiecināms, kā arī investīcijas projekta iesnieguma veidlapā definētajai informācijai. Ja nepieciešams, atbildīgā nozares ministrija lūdz finansējuma saņēmēju veikt papildinājumus un precizējumus iesniegtajā investīcijas projekta informācijā, nosakot termiņu precizējumu un papildinājumu iesniegšanai. Iesniegtos precizējumus atbildīgā nozares  ministrija izvērtē 10 darba dienu laikā. Ja iesniegtā precizētā informācija par  investīcijas projekta īstenošanu nav pietiekama lēmuma pieņemšanai par investīcijas projekta informācijas apstiprināšanu, atbildīgā nozares  ministrija var atkārtoti lūgt finansējuma saņēmējam iesniegt precizējumus izvērtēšanai, nosakot termiņu precizējumu un papildinājumu iesniegšanai. Atbildīgajai nozares ministrijai ir tiesības lūgt finansējuma saņēmējam veikt papildinājumus un precizējumus, līdz  investīcijas projekta informācija atbilst visām izvirzītajām prasībām. Atbildīgā nozares ministrija nosaka termiņu precizējumu un papildinājumu iesniegšanai. Iesniegtos precizējumus un papildinājumus atbildīgā nozares ministrija izvērtē 10 darba dienu laikā.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24. punktā svītrot vārdus "tik tālu cik tas attiecināms", ņemot vērā, ka attiecīgajam regulējumam nav juridiskas slodzes, jo nav piemērojams neattiecināms regulējums. Nepieciešamības gadījumā lūdzam norādīt konkrētas attiecīgās regulas vienības, kuras ir attiecināmas uz noteikumu projekta piemērošanas kontekstu.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nodrošina informācijas un publicitātes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 kā arī Eiropas Savienības fondu 2021.–2027. gada plānošanas perioda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14. punktā ietverto iebildumu un atkārtoti lūdzam noteikumu projektā svītrot atsauci uz Eiropas Savienības fondu 2021.–2027. gada plānošanas perioda komunikācijas un dizaina vadlīnijām, kuras nav juridiski saistošas un kuras nevar padarīt juridiski saistošas ar noteikumu projektā ietverto regulējumu. Nepieciešamības gadījumā lūdzam attiecīgās vadlīnijas saturu ietvert vienošanās par projekta īstenošanu vai pārņemt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Atbildīgā nozares ministrija pēc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noteiktās investīcijas projekta informācijas izvērtēšanas, konstatējot investīcijas projekta informācijas atbilstību izvirzītajām prasībām, apstiprina investīcijas projekta informāciju vadības informācijas sistēmā  un vienlaikus informē finansējuma saņēmēju par investīcijas projekta informācijas apstiprināšanu un investīcijas projekta īstenošanas uzsākšanu atbilstoši šo noteikumu </w:t>
            </w:r>
            <w:r w:rsidR="00000000" w:rsidRPr="00000000" w:rsidDel="00000000">
              <w:rPr>
                <w:rtl w:val="0"/>
              </w:rPr>
              <w:t xml:space="preserve">21. </w:t>
            </w:r>
            <w:r w:rsidR="00000000" w:rsidRPr="00000000" w:rsidDel="00000000">
              <w:rPr>
                <w:rtl w:val="0"/>
              </w:rPr>
              <w:t xml:space="preserve">punktu</w:t>
            </w:r>
            <w:r w:rsidR="00000000" w:rsidRPr="00000000" w:rsidDel="00000000">
              <w:rPr>
                <w:rtl w:val="0"/>
              </w:rPr>
              <w:t xml:space="preserve"> minētajiem iekšējiem noteikumiem, kas reglamentē investīcijas projekta īstenošanu, vadību un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2009. gada 3. februāra noteikumu Nr. 108 "Normatīvo aktu projektu sagatavošanas noteikumi" 131. punktam svītrot noteikumu projekta 25. punktā ietverto atsauci uz iekšejiem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29.12.2022. 20.37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29.12.2022. 20.37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Atzinumi_22-TA-2260.docx</dc:title>
</cp:coreProperties>
</file>

<file path=docProps/custom.xml><?xml version="1.0" encoding="utf-8"?>
<Properties xmlns="http://schemas.openxmlformats.org/officeDocument/2006/custom-properties" xmlns:vt="http://schemas.openxmlformats.org/officeDocument/2006/docPropsVTypes"/>
</file>