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26-TA-976: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Noziedzīgi iegūtu līdzekļu legalizācijas un terorisma un proliferācijas finansēšanas novēršanas likuma subjekti pieprasa un saņem informāciju no valsts informācijas sistēmām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Valsts ieņēmumu dienesta politiski nozīmīgu personu reģistra par politiski nozīmīgu personu un tās ģimenes locekļiem, kuri atbilst politiski nozīmīgas personas statusam: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noteikumu projekta "Kārtība, kādā Noziedzīgi iegūtu līdzekļu legalizācijas un terorisma un proliferācijas finansēšanas novēršanas likuma subjekti pieprasa un saņem informāciju no valsts informācijas sistēmām" (turpmāk - projekts) 8.1. apakšpunktu lietotājiem ir tiesības iegūt informāciju no Valsts ieņēmumu dienesta politiski nozīmīgu personu reģistra par politiski nozīmīgu personu un tās ģimenes locekļiem, kuri atbilst politiski nozīmīgas personas statusam. Līdz ar to secināms, ka lietotāji no Valsts ieņēmumu dienesta varēs iegūt informāciju tikai par tiem politiski nozīmīgu personu ģimenes locekļiem, kuri arī paši atbildīs politiski nozīmīgas personas statusam. Taču saskaņā ar Eiropas Parlamenta un Padomes 2024. gada 31. maija Regulas Nr. 2024/1624 par to, lai nepieļautu finanšu sistēmas izmantošanu nelikumīgi iegūtu līdzekļu legalizēšanai un teroristu finansēšanai, 20. panta pirmās daļas g) apakšpunktu, lai veiktu klienta uzticamības pārbaudi, atbildīgiem subjektiem ir pienākums noteikt, vai klients, klienta faktiskais īpašnieks un attiecīgā gadījumā persona, kuras vārdā vai labā tiek veikts darījums vai darbība, ir politiski redzama persona, ģimenes loceklis, vai persona, par kuru ir zināms, ka tā ir cieši saistīta. Tātad minētā regula attiecībā uz politiski nozīmīgu personu ģimenes locekļu uzticamības pārbaudi neaprobežojas tikai ar tiem ģimenes locekļiem, kuri paši atbilst politiski nozīmīgas personas statusam. Arī spēkā esošie Ministru kabineta 2019. gada 27. augusta noteikumi Nr. 406 “Noteikumi par informācijas apjomu, ko sniedz Valsts ieņēmumu dienests par politiski nozīmīgām personām, un tās pieprasīšanas, izsniegšanas un glabāšanas kārtību” neparedz ierobežojumu, ka attiecībā uz politiski nozīmīgu personu ģimenes locekļiem informācija tiek izsniegta tikai par tiem ģimenes locekļiem, kas paši atbilst politiski nozīmīgas personas statusam.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ierosinām projekta 8.1. apakšpunktā svītrot palīgteikumu “kuri atbilst politiski nozīmīgas personas statusam”.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Reire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Valsts vienotās datorizētās zemesgrāmatas: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uz to, ka par projektā paredzēto datu nodošanas apjomu Datu atkalizmantošanas reģistram (turpmāk – DAGR) līdz šim nav notikušas diskusijas ar Valsts vienotās datorizētās zemesgrāmatas (turpmāk – VVDZ) datu pārziņiem, kā arī šāda apjoma datu publicēšana nav tikusi plānota VVDZ datu kopu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pašlaik DAGR ietvaros tiek nodrošinātas datu kopas, kurās ir pieejama informācija par personai piederošajiem nekustamajiem īpašumiem un šo īpašumu identificējošā informācija. Projektā paredzētais datu apjoms būtiski pārsniedz līdzšinēji plānoto un publiskoto datu apjomu. Tiesu administrācija kā VVDZ pārzinis, neatbalsta šādu paplašinātu datu apjoma publicēšanu DAGR.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8.3.8. atzīmes un aizliegumi, pēcmantinieku iecelšana, mantojuma līgumi, šo ierakstu pārgrozījumi un dzēsumi;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zvērinātu advokātu klienti, kuriem jāveic izpēte, ir gan fiziskās, gan juridiskās personas, un ka nekustamais īpašums zemesgrāmatā tiek nostiprināts arī uz juridiskās personas vārda, ierosinām projektu papildināt ar jaunu 8.3.8. un 8.3.9. apakšpunktu, attiecīgi mainot nākamo apakšpunktu numerāciju,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“8.3.8. īpašnieka (juridiskas personas)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8.3.9. īpašnieka (juridiskas personas) vienotais reģistrācijas numurs;”.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Reire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Lietotājs ar Datu izplatīšanas un pārvaldības platformas starpniecību iegūto informāciju glabā atbilstoši Noziedzīgi iegūtu līdzekļu legalizācijas un terorisma un proliferācijas finansēšanas novēršanas likumā un Valsts informācijas sistēmu likumā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skaidru datu glabāšanas termiņu, projekta sākotnējās ietekmes </w:t>
            </w:r>
            <w:r w:rsidR="00000000" w:rsidRPr="00000000" w:rsidDel="00000000">
              <w:rPr>
                <w:i w:val="1"/>
                <w:rtl w:val="0"/>
              </w:rPr>
              <w:t xml:space="preserve">(ex-ante)</w:t>
            </w:r>
            <w:r w:rsidR="00000000" w:rsidRPr="00000000" w:rsidDel="00000000">
              <w:rPr>
                <w:rtl w:val="0"/>
              </w:rPr>
              <w:t xml:space="preserve"> novērtējuma ziņojumā (turpmāk -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sniedzot skaidrojumu, kas to pamatotu, vai arī anotācijā sniegt norādes par konkrētiem normatīvajiem aktiem (norādot normatīvā akta pantu un punktu), no kā izriet lietotāju pienākums glabāt datus noteiktu termiņu, un kāds ir šis glabāšanas termiņš. Paskaidrojam, ka atbilstoši Datu regulas 5. panta 1. punkta "e" apakšpunktā ietvertajam glabāšanas ierobežojuma principam, personas datus glabā tikai tik ilgi, kamēr tie ir nepieciešami nolūkiem, kuros to apstrādā. Papildus norādāms, ka Datu regulā nav noteikti konkrēti termiņi datu glabāšanai, tomēr šie termiņi ir saistīti ar pārziņa datu apstrādes nolūkiem un to sasniegšanai nepieciešamo datu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 apakšsadaļā nepareizi norādīts, ka fiziskās personas tiesiskais regulējums neietekmēs. No Noziedzīgi iegūtu līdzekļu legalizācijas un terorisma un proliferācijas finansēšanas novēršanas likuma (turpmāk – Novēršanas likums) 3. panta pirmās daļas  secināms, ka Novēršanas likuma subjekti ir gan juridiskās, gan fiziskās personas, tostarp, normas 4. punktā, cita starpā, ir norādīts, ka likuma subjekti ir zvērināti advokāti. Savukārt, saskaņā ar Latvijas Republikas Advokatūras likuma 116. pantu zvērināti advokāti praktizē individuāli vai sadarbībā ar citiem zvērinātiem advokātiem. Līdz ar to tiesiskais regulējums ietekmēs arī fiziskās personas - individuāli praktizējošus zvērinātus advokātus.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ierosinām anotācijas 2.1. apakšsadaļu attiecībā uz sabiedrības grupu - fiziskām personām, kuras tiesiskais regulējums ietekmē, vai varētu ietekmēt,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Novēršanas likuma 3. panta pirmajā daļā minētie likuma subjekti.”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Reire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anotācijas 2.1. apakšsadaļā ietverto ietekmes aprakstu Novēršanas likuma subjektiem likumā noteikto pienākumu veikšanai būs iespējams iegūt nepieciešamo informāciju vienuviet jeb ar viena tehniskā risinājuma starpniecību, veicot līdzšinējos datu devēju noteiktos maksājumus, kuru apmēru nosaka attiecīgas informācijas sistēmas izmantošanu regulējošais normatīvais akts. Minētā norāde par maksājumu veikšanu ir pretrunā ar anotācijas 1.3. apakšsadaļas aprakstā norādīto, ka kredītiestādēm un apdrošināšanas komersantiem saskaņā ar Novēršanas likuma 41. panta otro daļu piekļuve datu devēju informācijas sistēmām saglabāsies bez maksas. Līdz ar to anotācijas 2.1. apakšsadaļas ietekmes apraksts būtu attiecīgi precizējams.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Reire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papildināt projekta anotācijas 5. sadaļu, skaidrojot arī Eiropas Parlamenta un Padomes 2024. gada 31.  maija Direktīvas (ES) 2024/1640 par mehānismiem, kas dalībvalstīm jāievieš, lai nepieļautu finanšu sistēmas izmantošanu nelikumīgi iegūtu līdzekļu legalizēšanai vai teroristu finansēšanai, un ar ko groza Direktīvu (ES) 2019/1937 un ar ko groza un atceļ Direktīvu (ES) 2015/849, prasību pārņemšanu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Eiropas Parlamenta un Padomes 2024. gada 31. maija Regulas Nr. 2024/1624 par to, lai nepieļautu finanšu sistēmas izmantošanu nelikumīgi iegūtu līdzekļu legalizēšanai un teroristu finansēšanai, 22. panta 1. punkta "a" apakšpunkta "ii" punkts paredz iegūt informāciju - dzimšanas vietu un pilnu dzimšanas datumu, savukārt noteikumu projekta 8.5.10. apakšpunktā norādīts vienīgi uz personas dzimšanas valsti un vietu, tādēļ lūdzam attiecīgi precizēt (papildināt) projekta anotācijas 5.4. apakšsadaļas 1. tabulu. Kā arī lūdzam minētajā tabulā skaidrot arī to, kā ieviestas pārējās regulas 22. panta 1. punkta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8.1.13. apakšpunktu, lai nodrošinātu pilnvērtīgu un strukturētu projekta ietekmes izvērtējumu par ietekmi uz personas datu aizsardzību. Vēršam uzmanību, ka anotācijai ir ne tikai informatīva, bet arī metodoloģiska funkcija, nodrošinot pilnvērtīgu un strukturētu projekta ietekmes izvērtējumu. Tā ir sagatavojama, ņemot vērā Valsts kancelejas sagatavotās vadlīnijas, izvērtējot plānotās personas datu apstrādes, kas ir uzskatāma par personas pamattiesību aizskārumu, ierobežojuma samērīgumu ar sasniedzamo mērķi. Anotācijā arī ir iekļaujama informācija par tiesisko pamatojumu personu datu apstrādei, norādot tiesisko pamatojumu personu datu apstrādei (tostarp arī spēkā esošu ārējo normatīvo aktu (-us) un tā normu (-as), no kā ir izsecināma nepieciešamība apstrādāt personu datus projektā paredzētajā veidā), kā arī sniedzams īss un kodolīgs skaidrojums par paredzēto personu datu apstrādi – kādu datu subjektu un kādus datu veidus paredz apstrādāt projekts, kādos konkrētos nolūkos, papildus norādot arī – vai personu dati tiks glabāti un kāds būs datu glabāšanas termiņš, kāds ir pamatojums glabāšanas termiņam.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2009. gada 3. februāra noteikumu Nr. 108 "Normatīvo aktu projektu sagatavošanas noteikumi" 100. punkts noteic, ka Ministru kabineta noteikumu projekta pirmajā punktā secīgi raksta vārdus "noteikumi nosaka" un likumā noteikto pilnvarojumu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1. punktu atbilstoši Novēršanas likuma 5.</w:t>
            </w:r>
            <w:r w:rsidR="00000000" w:rsidRPr="00000000" w:rsidDel="00000000">
              <w:rPr>
                <w:vertAlign w:val="superscript"/>
                <w:rtl w:val="0"/>
              </w:rPr>
              <w:t xml:space="preserve">1</w:t>
            </w:r>
            <w:r w:rsidR="00000000" w:rsidRPr="00000000" w:rsidDel="00000000">
              <w:rPr>
                <w:rtl w:val="0"/>
              </w:rPr>
              <w:t xml:space="preserve"> panta 3.</w:t>
            </w:r>
            <w:r w:rsidR="00000000" w:rsidRPr="00000000" w:rsidDel="00000000">
              <w:rPr>
                <w:vertAlign w:val="superscript"/>
                <w:rtl w:val="0"/>
              </w:rPr>
              <w:t xml:space="preserve">1 </w:t>
            </w:r>
            <w:r w:rsidR="00000000" w:rsidRPr="00000000" w:rsidDel="00000000">
              <w:rPr>
                <w:rtl w:val="0"/>
              </w:rPr>
              <w:t xml:space="preserve">daļā noteiktajam pilnvarojumam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digitālās attīstības aģentūra (turpmāk – aģentūra)  ar Datu izplatīšanas un pārvaldības platformas starpniecību nodrošina lietotājiem piekļuvi datu devēju informācijas sistēmās esošajai informācijai  atbilstoši Ministru kabineta 2023. gada 31. oktobra noteikumos Nr. 624 "Datu izplatīšanas un pārvaldības platformas noteikumi" noteiktajai kārtībai.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projekta 2. punktu, neietverot atsauci uz konkrētiem Ministru kabineta noteikumiem, jo gadījumā, ja tiks izdoti jauni Ministru kabineta noteikumi par datu izplatīšanas un pārvaldības platformu, būs nepieciešams izdarīt grozījumu projekta 2.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Lietotājiem ir tiesības iegūt šādu informāciju no: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norādot, kādam mērķim nepieciešams no noteiktajām informācijas sistēmām saņemt attiecīgos personas datu veidus. Norādām, ka projekts paredz lietotāju tiesības iegūt dažādus datu veidus, piemēram, vārdu, uzvārdu, pēdējo 24 mēnešu laikā ieņemto amatu sarakstu u.tt. Netiek apšaubīts, ka projektā minētā informācija ir nepieciešama attiecīgu funkciju veikšanai, taču, lai būtu iespējams izvērtēt, vai personas datu apstrāde ir atbilstoša personas datu apstrādes minimizācijas principam, nolūka ierobežojuma principam un citiem personas datu apstrādes principiem, anotācijā sniedzams detalizētāks skaidrojums par nepieciešamību lietotājam saņemt noteiktos datu veidus.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Datu izplatīšanas un pārvaldības platforma datu devējiem un lietotājiem nodrošina uzskaiti par veiktajiem  pieprasījumiem, izmantojot audita pierakstus.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nosakot, ka uzskaite par noteiktām darbībām tiks nodrošināta izmantojot auditācijas pierakstus, nevis audita pierakstus. Paskaidrojam, ka Datu izplatīšanas un pārvaldības platformas darbību regulējošajos normatīvajos aktos un Fizisko personu datu apstrādes likumā tiek izmantots termins "auditācijas pieraksti".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Noteikumi stājas spēkā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12. punktu, norādot termiņu, kad noteikumi stājas spēkā, un papildināt anotācijas 1.2. apakšsadaļu ar atbilstošu informāciju vai to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Šo noteikumu 8.5.10. apakšpunkts stājas spēkā 2027. gada 10. jūlijā.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Parlamenta un Padomes 2024. gada 31. maija regulas Nr. 2024/1624 par to, lai nepieļautu finanšu sistēmas izmantošanu nelikumīgi iegūtu līdzekļu legalizēšanai un teroristu finansēšanai, 90. pants paredz, ka to piemēro no 2027. gada 10. jūlija,</w:t>
            </w:r>
            <w:r w:rsidR="00000000" w:rsidRPr="00000000" w:rsidDel="00000000">
              <w:rPr>
                <w:u w:val="single"/>
                <w:rtl w:val="0"/>
              </w:rPr>
              <w:t xml:space="preserve"> izņemot attiecībā uz atbildīgajiem subjektiem, kas minēti 3. panta 3. punkta n) un o) apakšpunktā, attiecībā uz kuriem to piemēro no 2029. gada 10.</w:t>
            </w:r>
            <w:r w:rsidR="00000000" w:rsidRPr="00000000" w:rsidDel="00000000">
              <w:rPr>
                <w:rtl w:val="0"/>
              </w:rPr>
              <w:t xml:space="preserve"> </w:t>
            </w:r>
            <w:r w:rsidR="00000000" w:rsidRPr="00000000" w:rsidDel="00000000">
              <w:rPr>
                <w:u w:val="single"/>
                <w:rtl w:val="0"/>
              </w:rPr>
              <w:t xml:space="preserve">jūlija</w:t>
            </w:r>
            <w:r w:rsidR="00000000" w:rsidRPr="00000000" w:rsidDel="00000000">
              <w:rPr>
                <w:rtl w:val="0"/>
              </w:rPr>
              <w:t xml:space="preserve">. Saistībā ar minēto lūdzam izvērtēt un nepieciešamības gadījumā papildināt projekta 13. punktu, piemēram, paredzot, ka noteiktiem lietotājiem attiecīgās prasības piemēro no 2029. gada 10. jūlija, vai skaidrot, kādēļ tas nav nepieciešams,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saturu, aktualitāti un atbilstību spēkā esošajiem tiesību aktiem. Paskaidrojam, ka nav saprotams anotācijā lietotais termins "žurnālpieraksti", ņemot vērā, ka nav zināms šī termina skaidrojums un nozīme. Turklāt projekts paredz auditācijas pierakstu apstrādi un kopumā personas datu apstrādi, tādēļ nav saprotama minētā jēdziena "žurnālpieraksti" minēšana anotācijā. Papildus norādāms, ka nacionālajā regulējumā par piemērojamajām minimālajām kiberdrošības prasībām tiek izmantots termins "žurnālfaili".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26-TA-976</w:t>
    </w:r>
    <w:r>
      <w:br/>
    </w:r>
    <w:r w:rsidR="00000000" w:rsidRPr="00000000" w:rsidDel="00000000">
      <w:rPr>
        <w:rtl w:val="0"/>
      </w:rPr>
      <w:t xml:space="preserve">Izdrukāts 03.09.2026. 12.39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26-TA-976</w:t>
    </w:r>
    <w:r>
      <w:br/>
    </w:r>
    <w:r w:rsidR="00000000" w:rsidRPr="00000000" w:rsidDel="00000000">
      <w:rPr>
        <w:rtl w:val="0"/>
      </w:rPr>
      <w:t xml:space="preserve">Izdrukāts 03.09.2026. 12.39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Atzinumi_26-TA-976.docx</dc:title>
</cp:coreProperties>
</file>

<file path=docProps/custom.xml><?xml version="1.0" encoding="utf-8"?>
<Properties xmlns="http://schemas.openxmlformats.org/officeDocument/2006/custom-properties" xmlns:vt="http://schemas.openxmlformats.org/officeDocument/2006/docPropsVTypes"/>
</file>