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Nacionālo bruņoto spēku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Likums stājas spēkā nākamajā dienā pēc tā izsludināšanas.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Nacionālo bruņoto spēku likumā" (turpmāk – projekts) paredz, ka </w:t>
            </w:r>
            <w:r w:rsidR="00000000" w:rsidRPr="00000000" w:rsidDel="00000000">
              <w:rPr>
                <w:u w:val="single"/>
                <w:rtl w:val="0"/>
              </w:rPr>
              <w:t xml:space="preserve">likums stājas spēkā nākamajā dienā pēc tā izsludināšanas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 projekta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1.2. apakšsadaļā norādīts, ka </w:t>
            </w:r>
            <w:r w:rsidR="00000000" w:rsidRPr="00000000" w:rsidDel="00000000">
              <w:rPr>
                <w:u w:val="single"/>
                <w:rtl w:val="0"/>
              </w:rPr>
              <w:t xml:space="preserve">projekts stājas spēkā vispārējā kārtībā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saskaņot projektā paredzēto regulējumu un projekta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1.2. apakšsadaļā ietverto informāciju par projekta spēkā stāšanos.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24-TA-1826</w:t>
    </w:r>
    <w:r>
      <w:br/>
    </w:r>
    <w:r w:rsidR="00000000" w:rsidRPr="00000000" w:rsidDel="00000000">
      <w:rPr>
        <w:rtl w:val="0"/>
      </w:rPr>
      <w:t xml:space="preserve">Izdrukāts 30.09.2024.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24-TA-1826</w:t>
    </w:r>
    <w:r>
      <w:br/>
    </w:r>
    <w:r w:rsidR="00000000" w:rsidRPr="00000000" w:rsidDel="00000000">
      <w:rPr>
        <w:rtl w:val="0"/>
      </w:rPr>
      <w:t xml:space="preserve">Izdrukāts 30.09.2024.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