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Reklāmas objekti vai informācijas objekti, kas izvietoti gar ceļiem un neatbilst šajos noteikumos noteiktajām prasībām, jāpārveido atbilstoši šajos noteikumos noteiktajām prasībām, bet nepārveidošanas gadījumā jādemontē līdz 2024.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skaidra 26. punktā paredzētā reklāmas objektu izvērtēšana prasībām, piem., reklāmas  objektu izstarotā spožuma noteikšana/mērīšana. Ja ir jāizvērtē visi  gar ceļiem valstspilsētas teritorijā esošie gaismas reklāmas objekti, t.sk. gaismas kastes, gaismas izkārtnes, pie šobrīd esošajiem resursiem un kapacitātes, pašvaldība šobrīd neredz iespēju noteiktajā laika posmā veikt pilnu izvērtēšanas un kontroles  procesu. Nav arī skaidrs, vai pašvaldība ir atbildīga par šo neatbilstību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2005. gada 7. jūnija noteikumos Nr. 402 "Noteikumi par reklāmas objektu vai informācijas objektu izvietošanu gar ceļiem, kā arī kārtību, kādā saskaņojama reklāmas objektu vai informācijas objektu izvietošana" (Latvijas Vēstnesis, 2005, 92. nr.; 2008, 187. nr.; 2012, 26.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 noteikumus ar 20.1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Pašvaldībās, kurās saskaņā ar Pašvaldību likuma 45. panta otrās daļas 4. punktu un Reklāmas likuma 7. panta trešo daļu ir izdoti saistošie noteikumi par reklāmas un informatīvo materiālu izvietošanu publiskās vietās un vietās, kas vērstas pret publisku vietu, papildus jāsaņem pašvaldības reklāmas/reklāmas objektu izvietošanas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