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energoefektivitātes uzlabošanas un atjaunojamo energoresursu izmantošanas veicināšana komersantiem enerģijas sadales, pārvades un ražošanas procesos, tai skaitā biometāna ražošanai vai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ar 2023. gada 1. janvāri viena no Klimata un enerģētikas ministrijas pārziņā esošajām Eiropas Savienības fondu 2021. – 2027. gada plānošanas perioda atbalsta programmām ir 2.1.2. “Atjaunojamo energoresursu enerģijas veicināšana - biometāns” par kopējo finansējuma apmēru 21,75 milj.</w:t>
            </w:r>
            <w:r w:rsidR="00000000" w:rsidRPr="00000000" w:rsidDel="00000000">
              <w:rPr>
                <w:i w:val="1"/>
                <w:rtl w:val="0"/>
              </w:rPr>
              <w:t xml:space="preserve"> euro</w:t>
            </w:r>
            <w:r w:rsidR="00000000" w:rsidRPr="00000000" w:rsidDel="00000000">
              <w:rPr>
                <w:rtl w:val="0"/>
              </w:rPr>
              <w:t xml:space="preserve">. Lai nodrošinātu demarkāciju, aicinām Modernizācijas fonda finansējuma ietvaros neparedzēt atbalstu biometāna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energokopienās un no atjaunojamiem energoresursiem iegūtas elektroenerģijas aktīvajiem lietotājiem, kas rīkojas kopīgi daudzdzīvokļu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Atveseļošanas un noturības mehānisma plānā un Eiropas Savienības kohēzijas politikas programmā 2021.–2027.gadam noteikto, tajā skaitā investīcijām un specifiskajiem atbalsta mērķiem atvēlētos finansējuma apmērus, Ekonomikas ministrija aicina Noteikumu projekta 14.3. apakšpunktā Modernizācijas fonda finansējumu noteikt ne tikai daudzdzīvokļu ēkām, bet arī valsts un pašvaldību ēkām. Aicinām Noteikuma projekta 14.3.apakšpunktu izteikt šādā redakcijā: “14.3. atjaunojamo energoresursu izmantošanas veicināšana daudzdzīvokļu, valsts un pašvaldību ēkās, tai skaitā atbalsts ar to darbību saistītās infrastruktūras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daudzdzīvokļu, valsts un pašvaldību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