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un pieejamais kopējais finansējums ir 7 000 000 </w:t>
            </w:r>
            <w:r w:rsidR="00000000" w:rsidRPr="00000000" w:rsidDel="00000000">
              <w:rPr>
                <w:i w:val="1"/>
                <w:rtl w:val="0"/>
              </w:rPr>
              <w:t xml:space="preserve">euro</w:t>
            </w:r>
            <w:r w:rsidR="00000000" w:rsidRPr="00000000" w:rsidDel="00000000">
              <w:rPr>
                <w:rtl w:val="0"/>
              </w:rPr>
              <w:t xml:space="preserve">, tai skaitā Eiropas Sociālā fonda Plus finansējums – 5 950 000 </w:t>
            </w:r>
            <w:r w:rsidR="00000000" w:rsidRPr="00000000" w:rsidDel="00000000">
              <w:rPr>
                <w:i w:val="1"/>
                <w:rtl w:val="0"/>
              </w:rPr>
              <w:t xml:space="preserve">euro </w:t>
            </w:r>
            <w:r w:rsidR="00000000" w:rsidRPr="00000000" w:rsidDel="00000000">
              <w:rPr>
                <w:rtl w:val="0"/>
              </w:rPr>
              <w:t xml:space="preserve">un valsts budžeta finansējums – 1 050 000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(turpmāk - MK) 2023. gada 13. jūlija sēdēs protokollēmumā (prot. Nr. 36 85. § 3. punkts) doto uzdevumu lūdzam veikt projekta izmaksu un ieguvumu analīzi, ņemot vērā, ka plānotās viena projekta kopējās izmaksas pārsniedz 1 milj. EUR (ieskaitot PVN). Aicinām atbildīgo iestādi iepazīties ar Centrālās finanšu un līgumu aģentūras (turpmāk - CFLA) izstrādāto universālo izmaksu ieguvumu analīzes modeli. Informācija pieejama CFLA tīmekļa vietnes sadaļā “Izmaksu un ieguvumu analīze”: https://www.cfla.gov.lv/lv/valsts-atbalsta-regulejums.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ietvaros paredzēts viens projekts, aicinām izvērtēt iespēju izmaksu un ieguvumu analīzi veikt anotācijas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ieguvumu monetāro vērtību iespējams noteikt, ņemot vērā pasākuma mērķi - pilnveidot paliatīvās aprūpes pakalpojumu personas dzīvesvietā un palielināt tā pieejamību, </w:t>
            </w:r>
            <w:r w:rsidR="00000000" w:rsidRPr="00000000" w:rsidDel="00000000">
              <w:rPr>
                <w:b w:val="1"/>
                <w:rtl w:val="0"/>
              </w:rPr>
              <w:t xml:space="preserve">sekmējot cilvēka neatkarīgas dzīves iespējas</w:t>
            </w:r>
            <w:r w:rsidR="00000000" w:rsidRPr="00000000" w:rsidDel="00000000">
              <w:rPr>
                <w:rtl w:val="0"/>
              </w:rPr>
              <w:t xml:space="preserve"> - kam būtu jāpalielina ne tikai mērķa grupas labklājība, bet arī jāsamazina slogs uz sociālo budžetu ilgtermiņā, tādējādi pierādot ES fondu finansējuma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īstenošanas personāla un sadarbības partnera projekta īstenošanas personāla izmaksas (turpmāk – personāla izmaksas), piemērojot vienoto likmi 20 procentu apmērā no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vienotās likmes apmērs nav saskaņots ar Eiropas Savienības fondu vadošo iestādi (turpmāk - Vadošā iestāde) saskaņā ar Vadošās iestādes izstrādāto vadlīniju Nr.1.1. "Vadlīnijas par vienkāršoto izmaksu izmantošanas iespējām un to piemērošana Eiropas Savienības kohēzijas politikas programmas 2021.–2027.gadam ietvaros" 55.punktu. Lūdzam veikt precizējumus atbilstoši Vadošās iestādes sniegtajiem komentāriem, nosūtot nepieciešamo informāciju uz sco@fm.gov.lv un secīgi veikt precizējumus MK noteikumu projektā (ja attiecināms)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rezultātus/rādītājus, papildus Eiropas Savienības kohēzijas politikas programmā 2021.-2027.gadam noteiktajiem rādītājiem.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MK protokollēmuma punktu kas paredz, ka Labklājības ministrija sniegs priekšlikumus tālākām darbībām gadījumā, ja Eiropas Komisija neatbalstīs Eiropas Savienības kohēzijas politikas programmas 2021.-2027. gadam grozījumus attiecībā uz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atbalstāmām darbībām un mērķa grupu, kura ir attiecināma uz 4.3.5.2. pasākuma "Atbalsts paliatīvās aprūpes sistēmas pilnveidošanai"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iepirkuma līgumu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minētās atbalstāmās darbības īstenošanai, ja finansējuma saņēmējam ir nepieciešams piesaistīt pakalpojumu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iepirkuma līguma izmaksas tiek plānotas noteikumu projekta 15.6. apakšpunktā minētās atbalstāmās darbības īstenošanai. Vēršam uzmanību, ka tās nevar būt papildu projekta personāla izmaksas, ņemot vērā, ka tās ir paredzētas jau noteikumu projekta 17.1.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normatīvajos aktos, kas nosaka kārtību, kādā veicama obligātā veselības pārbaude, paredzēto veselības pārbaužu izmaksas finansējuma saņēmēja projekta vadības un īstenošanas personālam un sadarbības partnera projekta īstenošanas personālam, ja tās nav iekļautas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personāla likmes izmaksās.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 vadlīniju Nr. 1.2. "Vadlīnijas attiecināmo izmaksu noteikšanai Eiropas Savienības kohēzijas politikas programmas 2021.-2027.gada plānošanas periodā" 7.15. apakšpunktā ietverta 17.zemsvītras atsauce, kur norādīts, ka obligātās veselības pārbaudes (turpmāk - OVP) neietilpst personāla izmaksās. Papildus vēršam uzmanību, ka OVP izmaksas attiecināmas tikai gadījumos, ja tās nesedz veselības apdrošināšanas polise, kā arī ņemot vērā visu iepriekš minēto un, lai mazinātu administratīvo slogu, rekomendējam šīs izmaksas segt no netiešo izmaksu vienotās likmes, kas šajā pasākumā plānota 7% apmērā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vadības un īstenošanas personālam un sadarbības partnera projekta īstenošanas personālam jaunu darba vietu radīšanai vai gadījumā, ja esošo darba vietu aprīkojums ir nolietojies un tiek norakstīts, var paredzēt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personāla izmaksu segšanai tiek piemērotā vienotā personāla izmaksu likme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punktu, aicinām izvērtēt, vai šādu izmaksu iekļaušana tiešajās attiecināmajās izmaksās neradīs papildu administratīvo slogu. Rekomendējam šīs izmaksas segt no netiešo izmaksu vienotās likmes, kas šajā pasākumā plānota 7% apmērā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telpu nomas izmaksas var paredzēt šo noteikumu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minēto darbību īstenošanai, organizējot izbraukuma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noteikuma projekta nosacījumus par telpu nomas izmaksu plānošanu, jo saskaņā ar noteikumu projekta 29.2.apakšpunkta nosacījumiem telpu noma var būt nepieciešama arī 15.3.apakšpunktā minētās atbalstāmās darbības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ēdināšanas, telpu nomas, naktsmītņu, ekspertu, lektoru un moderatoru atlīdzības, tehniskā nodrošinājuma, kancelejas preču iegādes un citus nepieciešamos izdevumus var paredzēt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noteikumu projekta 18.3.apakšpunktā minētās izmaksas (piemēram, ēdināšanas un tehniskā nodrošinājuma izmaksas) nav nepieciešamas arī 23.2.2.apakšpunktā minētās darbības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atbalstāmo darbību ietvaros var plānot izmaksas horizontālā principa "Vienlīdzība, iekļaušana, nediskriminācija un pamattiesību ievērošana" īstenošanai, tai skaitā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skaidru interpretāciju, lūdzam izvērtēt nepieciešamību papildināt noteikumu projektu vai anotāciju ar nosacījumiem, kādos gadījumos ir plānojamas noteikumu projekta 18.4.apakšpunktā minētās izmaksas un kuri no noteikumu projekta 3.punktā minētajiem mērķa grupas dalībniekiem var saņemt noteikumu projekta 18.4.apakšpunktā minētos pakalpojumus, piemēram, bērnu uzraudzības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saņēmējs plāno kā vienu izmaksu pozīciju septiņu procentu apmērā no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detalizētu indikatīvo izmaksu uzskaitījumu, kādas izmaksas tiks segtas no netiešo izmaksu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"Pasākuma īstenošanas nosacījumi" ar normu, kas paredz, ka finansējuma saņēmējs uzņemas segt sadārdzinājuma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nodrošina mācības atbalsta sniedzējiem atbilstoši šo noteikumu </w:t>
            </w:r>
            <w:r w:rsidR="00000000" w:rsidRPr="00000000" w:rsidDel="00000000">
              <w:rPr>
                <w:rtl w:val="0"/>
              </w:rPr>
              <w:t xml:space="preserve">23.2.1. </w:t>
            </w:r>
            <w:r w:rsidR="00000000" w:rsidRPr="00000000" w:rsidDel="00000000">
              <w:rPr>
                <w:rtl w:val="0"/>
              </w:rPr>
              <w:t xml:space="preserve">apakšpunktā</w:t>
            </w:r>
            <w:r w:rsidR="00000000" w:rsidRPr="00000000" w:rsidDel="00000000">
              <w:rPr>
                <w:rtl w:val="0"/>
              </w:rPr>
              <w:t xml:space="preserve"> minētajiem mācību moduļiem, tai skaitā plāno mācību norisi un laikus, komplektē mācību grupas, organizē klātienes un izbraukuma mācības, nodrošinot mācību telpas un citus nepieciešamos resursus, un veic faktisko mācību dalībnieku uzskaiti, ietverot tajā mācību dalībnieka vārdu, uzvārdu, personas kodu, e – pasta adresi un citu personas datus nesaturošu informāciju, kas nepieciešama maksājuma pieprasījumu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noteikumu projekta 23.2.2.apakšpunktā minēts "klātienes un izbraukuma mācības". Gadījumā, ja arī izbraukuma mācības ir plānots organizēt klātienē, lūdzam izvērtēt, vai nav precizējama apakšpunkta redakcija, nosakot apmācību organizēšanas veidu (piemēram, klātienes vai attālinātas) un vietu (Rīgā un ārpus Rīgas (izbraukuma)).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iepirkumus veic saskaņā ar normatīvajiem aktiem publisko iepirkumu jomā vai normatīvajiem aktiem par iepirkuma procedūru un tās piemērošanas kārtību pasūtītāja finansētiem projektiem, īstenojot konkurenci nodrošinošu, pārredzamu, atklātu un nediskriminējošu konkursa procedūru, un, kur tas ir attiecināms un atbilstošs projekta darbības specifikai, īsteno sociāli atbildīgus, inovatīvus un zaļos publiskos iepirkumus;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noteikumu projekta 12. un 14.punkta nosacījumiem finansējuma saņēmējs un sadarbības partneris ir valsts pārvaldes iestādes Labklājības ministrija un Sociālās integrācijas valsts aģentūra, lūdzam izvērtēt, vai noteikumu projekta 32.3.apakšpunktā ir nepieciešama norāde, ka iepirkumus veic saskaņā ar normatīvajiem aktiem par iepirkuma procedūru un tās piemērošanas kārtību pasūtītāja finansētiem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iepirkumus veic saskaņā ar normatīvajiem aktiem publisko iepirkumu jomā, īstenojot konkurenci nodrošinošu, pārredzamu, atklātu un nediskriminējošu konkursa procedūru, un, kur tas ir attiecināms un atbilstošs projekta darbības specifikai, īsteno sociāli atbildīgus, inovatīvus un zaļos publiskos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savā tīmekļvietnē un sociālajos tīklos ievieto aktuālo informāciju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aicinām norādīt, ka tīmekļvietnē un sociālajos tīklos ievietoto informāciju par projekta īstenošanu aktualizē tiklīdz pieejama jaunākā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uzkrāj datus par šādiem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ievietot aktuālos HP VINPI rādītāju nosaukumus, gadījumā, ja saskaņā ar plānotajām izmaiņām KPVIS funkcionalitātē, paredzama šo rādītāju redakciju precizēšana.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32.8.2.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32.8.2.apakšpukta redakciju, nodrošinot, ka no noteikumu normas ir nepārprotami saprotams, kāda horizontālā principa "Vienlīdzība, iekļaušana, nediskriminācija un pamattiesību ievērošana" rādītāja datus nepieciešams uzkrāt.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maksājuma pieprasījumu un dalībnieku pārskata sagatavošanas nolūkā veic pēcpārbaudi sadarbības partnera un pakalpojuma sniedzēju veiktajai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mērķa grupas personu atbilstības pārbaudei, apstrādājot sadarbības partnera iesniegtos šo noteikumu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minētos personas datus un pakalpojuma sniedzēju šo noteikumu </w:t>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minētos personas datus, un saskaņā ar Eiropas Parlamenta un Padomes 2021. gada 24. jūnija Regulas (ES) 2021/1057, ar ko izveido Eiropas Sociālo fondu Plus (ESF+) un atceļ Regulu (ES) Nr. 1296/2013, I pielikumu un Ministru kabineta 2023. gada 21. marta noteikumu Nr. 135 "Eiropas Savienības fondu projektu pārbaužu veikšanas kārtība 2021.–2027. gada plānošanas periodā" 1. pielikumu uzskaita un iesniedz sadarbības iestādē apkopotus datus par atbalstu saņēmušajām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uzkrāt datus par mērķa grupas personām atbilstoši Eiropas Parlamenta un Padomes 2021. gada 24. jūnija Regulas (ES) 2021/1057, ar ko izveido Eiropas Sociālo fondu Plus (ESF+) un atceļ Regulu (ES) Nr. 1296/2013, I pielikumam, ņemot vērā, ka 4.3.5.2. pasākuma ietvaros ir definēts tikai nacionālais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maksājuma pieprasījumu un dalībnieku pārskata sagatavošanas nolūkā veic pēcpārbaudi sadarbības partnera un pakalpojuma sniedzēju veiktajai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mērķa grupas personu atbilstības pārbaudei, apstrādājot sadarbības partnera iesniegtos šo noteikumu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minētos personas datus un pakalpojuma sniedzēju šo noteikumu </w:t>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minētos personas datus, un saskaņā ar Eiropas Parlamenta un Padomes 2021. gada 24. jūnija Regulas (ES) 2021/1057, ar ko izveido Eiropas Sociālo fondu Plus (ESF+) un atceļ Regulu (ES) Nr. 1296/2013, I pielikumu un Ministru kabineta 2023. gada 21. marta noteikumu Nr. 135 "Eiropas Savienības fondu projektu pārbaužu veikšanas kārtība 2021.–2027. gada plānošanas periodā" 1. pielikumu uzskaita un iesniedz sadarbības iestādē apkopotus datus par atbalstu saņēmušajām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uz 3.1.apakspunktu, t.i., noteikt, ka dalībnieku pārskatā dati jāuzkrāj tikai par tiešo mērķa grupu - paliatīvās aprūpes pacientiem, kuri saņēmuši atbalstu (noteikumu projekta 4.punktā minēto nacionālo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teikumu "Nav attiecināmas izmaksas par jau pabeigtām atbalstāmajām darbībām" pārveidot šādi "Nav attiecināmas izmaksas par jau pabeigtām atbalstāmajām darbībām pirms 2025.gada 1.janvāra.", ņemot vērā, ka MK noteikumi paredz izdevumu attiecināšanu pirms MK noteikumu/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kas tiek saprasts ar jēdzienu “darbība” attiecīgo noteikumu ietvaros, piemēram, vai par darbību ir uzskatāms viss projekts kopumā, vai kāda tā daļas, piemēram, atsevišķas projekta ietvaros plānotās aktivitātes/pasākumi, vai to kopums, ņemot vērā, ka nav attiecināmas izmaksas par jau pabeigtām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nacionālo dokumentu (pamatnostādnes, plāns, MK noteikumi utt.) kura ietvaros ir plānotas 4.3.5.2. pasākuma īstenošanas darbības un mērķi, lai pārliecinātos, ka tiek veikta ieguldījumu priekšnosacījumu izpildes nodrošināšana visa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iekļauti visi atbalstāmie pasākumi darbību īstenošanai, lūdzam izvērtēt, vai arī noteikumu projekta 29.punkts nebūtu papildināms ar anotācijas "Risinājuma apraksts" sadaļā iekļauto pasākumu - "Pēc psihosociālā atbalsta pasākumu īstenošanas ir paredzēts veikt to rezultātu efektivitātes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dubultā finansējuma neesamību, lūdzam papildināt anotāciju, nosakot, ka pakalpojumu nevar saņemt tie pacienti, kuri jau saņem paliatīvās aprūpes mobilo komandu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neveidojas dubultais finansējums, lūdzam anotācijā skaidrot, kā finansējuma saņēmējs praktiski plāno uzraudzīt un kur ir pieejama informācija par to, kuriem pacientiem jau ir piešķirts paliatīvās aprūpes mobilās komandas pakalpojums. Vai šī informācija ir pieejama finansējuma saņēmējam, ņemot vērā, ka veselības dati ir īpašo kategoriju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"Pašreizējā situācija, problēmas un risinājumi" sadaļā "Pašreizējā situācija" rindkopā par paliatīvās aprūpes mobilo komandu pakalpojumu papildināt ar informāciju par 9.2.5. specifiskā atbalsta mērķa projekta ietvaros veikto pilotprojektu "Mobilās paliatīvās aprūpes pakalpojumu nodrošināšana", kā rezultātā iepriekš minētais pakalpojums ir ieviests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noteikumu projekta 24., 29. un 31.punkta nosacījumiem noteikumu projekta 15.2., 15.3. un 15.4.apakšpunktā minēto atbalstāmo darbību īstenošanu nodrošinās finansējuma saņēmēja izvēlēts pakalpojuma sniedzējs, lūdzam izvērtēt nepieciešamību papildināt anotāciju ar informāciju par to kā pakalpojuma sniedzējs minēto atbalstāmo darbību īstenošanā iesaistīs noteikumu projekta 3.punktā minētos mērķa grupas pārstāvjus, proti, kā tiks apzināti atbalstāmajās darbībās iesaistāmie mērķa grupas pārstāvji un kā pakalpojuma sniedzējam tiks nodota informācija par to, kuri mērķa grupas pārstāvji ir iesaistāmi atbalstāmo darbību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4.3.5.2. pasākumam paredzēts nodrošināt ilgtspēju pēc 4.3.5.2. pasākuma projekta īstenošanas un attiecīgi LM normatīvajos aktos paredzētajā kārtībā, veicot detalizētus aprēķinus par papildu nepieciešamo finansējumu, sagatavos un iesniegs priekšlikumus Ministru kabinetā gadskārtējā valsts budžeta un vidēja termiņa budžeta ietvara likumprojekta izskatīšanas procesā kopā ar visu ministriju iesniegtajiem pieteikumiem prioritārajiem pasākumiem. Lūdzam papildināt 3.sadaļas punktu “Cita informācija” ar informāciju par 4.3.5.2.pasākuma īstenošanu un tā finansēšanas avotu, gadījumā, ja likumprojekta par valsts budžetu kārtējam gadam un vidēja termiņa budžeta ietvaru izskatīšanas procesā iesniegtie prioritārie pasākumi netiks atbalstīti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2025.gadā, nepieciešams anotācijas 3.sadaļas “Tiesību akta projekta ietekme uz valsts budžetu un pašvaldību budžetiem” tabulas ailēs precizēt norādītos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7.punktu ar informāciju par 4.3.5.2.pasākuma projekta īstenošanai paredzētajām amata vietām un likmēm atbilstoši anotācijas 1.3.apakšsadaļas punktā “Risinājuma apraksts” (16.lpp.)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un anotācijā pašvaldībām nav noteiktas funkcijas pasākuma īstenošanā, lūdzam izvērtēt nepieciešamību papildināt noteikumu projektu vai anotāciju ar informāciju par pašvaldību veicamajiem uzdevumiem pasākuma īstenošanā vai nepieciešamības gadījumā dzēst pašvaldības no anotācijas 7.1.sadaļas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Sociālā fonda Plus līdzfinansētā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(turpmāk – 4.3.5.2.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līdzekļu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256 800 </w:t>
            </w:r>
            <w:r w:rsidR="00000000" w:rsidRPr="00000000" w:rsidDel="00000000">
              <w:rPr>
                <w:i w:val="1"/>
                <w:rtl w:val="0"/>
              </w:rPr>
              <w:t xml:space="preserve">euro </w:t>
            </w:r>
            <w:r w:rsidR="00000000" w:rsidRPr="00000000" w:rsidDel="00000000">
              <w:rPr>
                <w:rtl w:val="0"/>
              </w:rPr>
              <w:t xml:space="preserve">apmērā, lai nodrošinātu 4.3.5.2. pasākuma īstenošanas uzsākšanu un priekšfinansēšanu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3.punktu un anotācijas 3.sadaļas 6.punktu, skaitli “80.00.00” norādot pēc vārda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08.01.2025.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08.01.2025.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