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7. aprīļa noteikumos Nr. 194 "Kārtība, kādā izsniedz, uz laiku aptur vai anulē speciālās atļaujas (licences) un licences kartītes komercpārvadājumu veikšanai ar autotransportu un izsniedz pārvadājumu vadītāja profesionālās kompetences sertifikātus"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 punktu aizpilda, ja projekts ietekmē spēkā esošo tiesību normu sistēmu.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4.1. apakšpunktā norādīto tiesību akta projektu, normatīvo aktu saistību ar projektu. Pašreizējais formulējums nenodrošina pietiekamu skaidrojumu par projekta ietekmi uz uzskaitītajiem normatīvajiem aktiem vai sasaisti ar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apakšpunkta 1. tabulā raksturo projekta atbilstības pakāpi Eiropas Savienības tiesību aktiem, norādot katru attiecīgā Eiropas Savienības tiesību akta pantu, daļu, punktu, apakšpunktu, kas jāpārņem vai jāievieš nacionālajā tiesību sistēmā (A aile). "B" ailē norāda katru projekta pantu, daļu, punktu, apakšpunktu, ar kuru tiks pārņemts vai ieviests Eiropas Savienības tiesību akta pants, daļa, punkts vai apakšpunkts, vai norāda vispārīgu atsauci uz tiesību aktu, kurā ir vai tiks pārņemtas tiesību normas.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ar projekta 1.5. apakšpunktu un 2. punktu tiek ieviestas arī direktīvas 2022/738 2. panta pirmā punkta prasības, kas ir atspoguļojamas anotācijas 5.4. apakšpunkta 1. tabulā. Tāpat tabulā jānorāda arī direktīvas 2022/738 2. panta otrais punkts, 3. vai 4. pants, kas projektā nav jāievieš, bet tabulā ir skaidrojams. Piemēram, direktīvas 2022/738 4. panta rindas "B" ailē norādot: "Nav jāpārņem; minēti direktīvas adresāti".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apakšpunkta 1. tabulā norādīto informāciju, nodrošinot korektu tiesību projekta atbilstības atspoguļojumu Eiropas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apakšpunktā, kā izstrādes pamatojums norādīta ministrijas/iestādes iniciatīva, tajā pašā laikā aprakstā norādīta nepieciešamība nodrošināt nacionālā regulējuma atbilstību direktīvai 2022/738. Ievērojot minēto, iesakām pārskatīt, vai kā pamatojums nebūtu norādāma nevis ministrijas iniciatīva, bet Eiropas Savienības normatīvais akts (direktīva 2022/738), un nepieciešamības gadījumā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Būtiskāko informāciju par problēmas analīzi norāda anotācijas 1.3. apakšpunktā “Pašreizējā situācija, problēmas un risinājumi”. Sadaļā “Pašreizējā situācija” apraksta šī brīža situāciju, “Problēma” apraksta problēmu, savukārt sadaļā “Risinājums“ ieraksta attiecīgās problēmas risinājumu, kas paredzēts 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pašreizējās situācijas aprakstā norādīts tikai tas, ka projekts izstrādāts, lai precizētu un pilnveidotu Ministru kabineta 2020. gada 7. aprīļa noteikumu Nr. 194 "Kārtība, kādā izsniedz, uz laiku aptur vai anulē speciālās atļaujas (licences) un licences kartītes komercpārvadājumu veikšanai ar autotransportu un izsniedz pārvadājumu vadītāja profesionālās kompetences sertifikātus" ietvertās normas, nav konkrētāk skaidrota pašreizējā situācija. Tāpat, anotācijas 1.3. apakšpunktā nav atspoguļots projekta 1.5.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1.3. apakšpunktu un, nepieciešamības gadījumā, veikt papildinājumus un/vai sniegtās informācijas pārstrukturizēšanu nodrošinot pilnīgu, skaidru un nepārprotamu projekta atspoguļojumu un ar to saistīto apstākļu izklāstu.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Komerclikuma 18. pantu termins "uzņēmums" apzīmē organizatoriski saimniecisku vienību un nevis komercdarbības vai saimnieciskās darbības subjektu, lūdzam izvērtēt un nepieciešamības gadījumā precizēt anotāciju termina "uzņēmums" vietā izmantojot terminu "komersants" vai "saimnieciskās darbības veicējs".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pieteikto saīsinājumu "Direktīva (ES) 2022/738" un paralēli lietoto saīsinājumu "Direktīva 2022/738".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02.06.2023.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02.06.2023.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Atzinumi_23-TA-982.docx</dc:title>
</cp:coreProperties>
</file>

<file path=docProps/custom.xml><?xml version="1.0" encoding="utf-8"?>
<Properties xmlns="http://schemas.openxmlformats.org/officeDocument/2006/custom-properties" xmlns:vt="http://schemas.openxmlformats.org/officeDocument/2006/docPropsVTypes"/>
</file>