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Fizisko personu reģistra;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norādot, kurus šo noteikumu 28.punktā norādītos personas datus tiek plānots saņemt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projektu, nosakot, tehnisko risinājumu, kāds tiks izmantots  datu saņemšanai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 Fizisko personu reģistra paredzēts saņemt  šo noteikumu 28.5., 28.9. un 28.14.apakšpunkā norādītos datus, tad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28.5.apakšpunkta redakciju, ņemot vērā, ka Fizisko personu reģistra likuma 11.panta pirmās daļas 12.punktā un Ministru kabineta 2021.gada 15.jūnija noteikumu Nr.372 “Noteikumi par Fizisko personu reģistrā iekļaujamo ziņu apjomu” 2.13.punktā ir norādīti šādi adrešu veidi, kādi tiek uzkrāti Fizisko personu reģistrā - ziņas par deklarētās, reģistrētās, norādītās dzīvesvietas adresi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28.9.apakšpunkta redakciju, ņemot vērā, Fizisko personu reģistra likuma 11.panta pirmās daļas 16.punktā noteikto, ka Fizisko personu reģistrā iekļauj ziņas par personu apliecinošu dokumentu. Personu apliecinošu dokumentu likuma 4.panta pirmā daļa nosaka, personu apliecinošu dokumentu veidus - pase un personas apliecība (eID). Ministru kabineta 2021.gada 15.jūnija noteikumu Nr.372 “Noteikumi par Fizisko personu reģistrā iekļaujamo ziņu apjomu” 2.16.punkts nosaka ziņu apjomu, kāds tiek uzkrāts par personu apliecinošu dokumentu. Ievērojot norādīto, lūdzam precizēt 28.9.apkšpunktu, nosakot precīzu datu apjomu, kādu nepieciešams saņemt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28.14.apakšpunkta redakciju, ņemot vērā, ka Fizisko personu reģistrā netiek iekļautas ziņas par personas radniecību, lūdzam precīzi norādīt personu loku, kas sevī ietver termins “radniecība”. Papildus informējam, ka Fizisko personu reģistra likuma 11.pantā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 brāli (pusbrāli), māsu (pusmāsu)) vai  bērna datus (ja nepieciešams apzināt personas mazbērnus).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 Iekšlietu ministrijas Informācijas centra Administratīvā pārkāpuma procesa atbalsta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31.9.apakšpunktā ir noteikts, ka Maksājumu administrēšanas informācijas sistēma saņem informāciju no Iekšlietu ministrijas Informācijas centra Administratīvā pārkāpumu procesa atbalsta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projektu, norādot informācijas apjomu, kuru paredzēts saņemt no Iekšlietu ministrijas Informācijas centra pārziņā esošās valsts informācijas sistēmas “Sodu reģistrs” apakšsistēmas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"Vispārīgie jautājumi" ar "Vispārīgais jautājums", jo Projekta nodaļā tiek ievērts tikai viens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14. Šo noteikumu 12. punktā paredzētās informācijas apstrādei par fizisko personu DNS iekļauj šādu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skaitli "14." (drukas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 Iekšlietu ministrijas Informācijas centra Administratīvā pārkāpuma procesa atbalsta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31.9.apakšpunktā vārdus “Iekšlietu ministrijas Informācijas centra Administratīvā pārkāpumu procesa atbalsta sistēmas” ar vārdiem “valsts informācijas sistēmas “Sodu reģistrs” apakšsistēmas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Iekšlietu ministrijas Informācijas centra Administratīvo pārkāpumu procesa atbalsta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32.2.apakšpunktā vārdus “Iekšlietu ministrijas Informācijas centra Administratīvo pārkāpumu procesa atbalsta sistēmai” ar vārdiem “valsts informācijas sistēmas “Sodu reģistrs” apakšsistēmai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Valsts ieņēmumu dienesta PDB saturs, informācijas apjoms, informācijas iekļaušana sistēmā un informācijas glabāšana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"Valsts ieņēmumu dienesta", jo saskaņā ar Projekta 1. punktu atrunātais saīsinājums "PDB", sevī ietver Valsts ieņēmumu dienesta publiskojamo datu bāzi.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Piekļuve informācijai un tās glabāšanas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nodaļu, iekļaujot arī tos Projekta punktus, kuri katrai sistēmai noteica auditācijas pierakstu glabāšanas periodu, tādejādi loģiski apvienojot vienā nodaļā nosacījumus par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neatrunāto saīsinājumu "Padomes Regulu (ES) Nr. 389/2012" ar pilnu nosaukumu "Padomes Regula (ES) Nr. 389/2012 (2012. gada 2. maija) par administratīvu sadarbību akcīzes nodokļu jomā un ar ko atceļ Regulu (EK) Nr. 2073/2004".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