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šāda objekta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daudzdzīvokļu dzīvojamā māja virs pieciem</w:t>
            </w:r>
            <w:r w:rsidR="00000000" w:rsidRPr="00000000" w:rsidDel="00000000">
              <w:rPr>
                <w:b w:val="1"/>
                <w:rtl w:val="0"/>
              </w:rPr>
              <w:t xml:space="preserve"> </w:t>
            </w:r>
            <w:r w:rsidR="00000000" w:rsidRPr="00000000" w:rsidDel="00000000">
              <w:rPr>
                <w:rtl w:val="0"/>
              </w:rPr>
              <w:t xml:space="preserve">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ēka ar kopējo platību no 1000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ēka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patvertnē varētu iekļūt cilvēki un izmantot to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Pašvaldībām, pamatojoties uz domes lēmumu, ir tiesības piedalīties patvertņu, tai skaitā privātās ēkās un telpās, izbūvē vai ierīkošanā un nodrošināšanā ar nepieciešamo aprīkojumu, nepiemērojot publiskas personas mantas atsavināšanas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var lemt par atbrīvojumu no šajā likuma 7.</w:t>
            </w:r>
            <w:r w:rsidR="00000000" w:rsidRPr="00000000" w:rsidDel="00000000">
              <w:rPr>
                <w:vertAlign w:val="superscript"/>
                <w:rtl w:val="0"/>
              </w:rPr>
              <w:t xml:space="preserve">1</w:t>
            </w:r>
            <w:r w:rsidR="00000000" w:rsidRPr="00000000" w:rsidDel="00000000">
              <w:rPr>
                <w:rtl w:val="0"/>
              </w:rPr>
              <w:t xml:space="preserve"> panta trešajā daļā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būvniecības izmaksas, kas pārsniedz 50% no kopējām ēkas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300 metru rādiusā ap būvējamo objektu jau ir patvertnes, kas nodrošina 100% patvērums deklarētajiem iedzīvotājiem, kā arī nodrošina 100% patvērumu būvējamajā objektā paredzētajam cilvēku skaitam.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var lemt par atļauju būvēt kopīgu patvertni divām vai vairākām ēkām, ja patvertnes sasniedzamība nepārsniedz 300 metrus no attiecīgajās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papildinātā 7.1 panta sesto daļu norādām, ka nav noteiktības par pašvaldībai uzdotā uzdevuma - plānot patvertņu izvietojumu, izpildi, proti, nav noteiktības par tiesību aktu, ar kuru pašvaldība nosaka patvertņu izvietojumu. Tādējādi lūdzam atkārtoti pārskatīt šo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papildinātā 7.1 panta septīto daļu norādām, ka šajā normā noteiktās tiesības pašvaldība nevar realizētas vispārējā kārtībā, jo publiskā finansējumu piešķiršana privātpersonām noris administratīvā procesa ietvaros. Turklāt pašvaldības rīcībai ar publiskajiem līdzekļiem ir jābūt ne vien tiesiskai, bet arī noteiktai un vienveidīgai. Pašvaldība publisko finansējumu privātpersonām ir tiesīga piešķirt pamatojoties uz likumu, Ministru kabineta noteikumiem vai pašvaldības saistošajiem noteikumiem. Tādējādi lūdzam atkārtoti pārskatīt šo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papildinātā 7.1 panta astoto daļu norādām, ka šāda veida pašvaldības atbrīvojums vai atteikums no atbrīvojuma ir uzskatāms par administratīvo aktu, līdz ar to pašvaldībai būtu jāpamato savs lēmums tikai ar objektīviem apstākļiem.  Turklāt Administratīvā procesa likuma 11. panta pirmais teikums attiecīgi noteic, ka privātpersonai nelabvēlīgu administratīvo aktu izdot vai faktisku rīcību veikt iestāde var uz Satversmes, likuma, kā arī uz starptautisko tiesību normas pamata. Savukārt likumā paredzētās tiesības izlemt jautājumu vēl nenozīmē, ka ar likumu nav jānosaka apstākļi pie kuriem tiek pieņemts vienveidīgs lēmums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tas, ka pašvaldība var lemt, nevis lemj par administratīvā akta izdošanu noteiktos gadījumos, ir vērtējams kritiski, jo pastāv augsts risks subjektīvai un nevienlīdzīgai pieejai lēmuma pieņemšanā. Nevar pastāvēt pašvaldības izvēle lemt vai nelemt par atbrīvojumu, ja pastāv likumā noteiktie kritēriji atbrīvojuma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22.08.2024.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22.08.2024.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Atzinumi_24-TA-287.docx</dc:title>
</cp:coreProperties>
</file>

<file path=docProps/custom.xml><?xml version="1.0" encoding="utf-8"?>
<Properties xmlns="http://schemas.openxmlformats.org/officeDocument/2006/custom-properties" xmlns:vt="http://schemas.openxmlformats.org/officeDocument/2006/docPropsVTypes"/>
</file>