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20 gadi ir samērīgs laiks un vai šāds ierobežojums neradīs riskus, piemēram - vai neveidosies degradēta vide, teritorija, kuras attīstība, t.sk. uzturēšana un atbilstoša apsaimniekošana, ievērojami tiks apgrūtināta vai vispār netiks veicināta. Aizsargājamā koka iznīcināšanas gadījumā teritorijas vērtība, no aizsargājamās teritorijas noteikšanas viedokļa (mērķa), jebkurā gadījumā būs zudusi, taču tiek paaugstināti riski teritorijas atbilstošai apsaimniekošanai un uzturēšanai turpmāk. Tāpat izvērtējams vai noteiktais termiņš ir samērīgs attiecībā uz būtiskiem ierobežojumiem īpašumam īpašnieku maiņas gadījumā, kas savukārt, visdrīzāk, arī neveicinās konkrētā īpašuma atbilstošu uzturēšanu, sakārtošanu. Kā arī, ņemot vērā, ka ir gadījumi, kad aizsargājamā koka aizsardzības zona atrodas vairāku īpašumu robežās, izvērtējams kā tas ietekmēs blakus esošos īpašniekus, kuri nav atbildīgi par regulējošo normatīvo aktu pārkāpumu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ja aizsargājamais koks ir iznīcināts, vai tā celms vai bijusī atrašanās vieta saglabā īpaši aizsargājamās teritorijas statusu šī likuma izpratnē un arī faktiski dabā, lai noteiktu šādu turpmāku teritorijas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skaidrojums ne par iznīcināta koka teritorijas - 15 m rādiusā no celma, ne ieraksta saglabāšanas valsts reģistrā termiņa – 20 gadi, noteikto ierobežojumu pamatojumu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personai likumā jau ir noteikta atbildība par aizsargājama koka bojāšanu vai iznīcināšanu, anotācijā nepieciešams skaidrot plānoto papildu ierobežojumu pamatojumu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vērtēti citi iespējamie pasākumi situācijās, kad apzinātu darbību dēļ iznīcināts aizsargājamais koks, kas, iespējams, izslēgtu iepriekš minētos riskus un būtu efektīvāki, arī teritoriju uzturēšanas un apsaimniekošanas kontekstā, piemēram, paredzot noteiktus teritorijas apsaimniekošanas, uzturēšanas veidus dabiskās vides atjaunošanā un veicināšanā, kā arī nosakot lielākus piemērojamos naudas sodus gadījumos, kad pārkāpti aizsargājamā koka aizsardzību un izmantošanu regulējošie normatīvie akti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w:t>
            </w:r>
            <w:r w:rsidR="00000000" w:rsidRPr="00000000" w:rsidDel="00000000">
              <w:rPr>
                <w:b w:val="1"/>
                <w:rtl w:val="0"/>
              </w:rPr>
              <w:t xml:space="preserve">pašvaldības administratīvā komisija vai apakškomisija</w:t>
            </w:r>
            <w:r w:rsidR="00000000" w:rsidRPr="00000000" w:rsidDel="00000000">
              <w:rPr>
                <w:rtl w:val="0"/>
              </w:rPr>
              <w:t xml:space="preserve">,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20.03.2025. 22.46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20.03.2025. 22.46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