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programmas nosacījumi energoefektivitātes paaugstināšanas pasākumu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cits finansētājs apliecina, ka tas izsniegs aizdevumu konkrētajam projektam tikai tad, ja tiks piešķirta sabiedrības "Altum"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izteiktais iebildums nav ņemts vērā. Lūdzam dzēst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Izziņā norādītājam, valsts ir lēmusi par programmas dizainu un to, ka programmu ievieš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bankām ir birokrātisks administratīvais slogs, jo banka ir pieņēmusi lēmumu par projekta finansēšanu, iesniegusi piedāvājumu klientam, Altum, nav papildus nepieciešams šāds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daudzdzīvokļu mājas parādsaistību apjoms par saņemtajiem pakalpojumiem (apsaimniekošanas, atkritumu apsaimniekošanas, siltumapgādes, ūdensapgādes un kanalizācijas pakalpojumi) pēdējo 12 mēnešu laikā, kas saistīti ar dzīvokļa īpašuma lietošanu, ir mazāks par 10 procentiem no šo pakalpojumu rēķinu summas pēdējo 12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apakšpunktu, jo tas nav MKN regulējums. Kredītiestādes atbilstoši to darbības regulējumam, Kredītiestāžu likumam veido piedāvājumus, nosacījumus klientiem.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Garantiju var saņemt gan dzīvokļu īpašnieki, kas nav saimnieciskās darbības veicēji, gan dzīvokļu īpašnieki, kas ir saimnieciskās darbības veicēji un kas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Lūdzam veikt korekciju, jo garantiju saņem finansētājs. Garantija atbild par dzīvokļu īpašnieku saistībām (dzīvokļa īpašnieki ir tie, kas iegūst labumu no izsniegtās garantijas, bet nesaņem pašu garantiju).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(no iepriekšējās redakcijas komentāra).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programmu ievieš Altum. Mūsu ieskatā viens no ES fondu efektīvas izmantošanas horizontālajiem principiem ir privātā kapitāla piesaiste projektiem. Diemžēl nav skaidrots mehānisms kā un kur privātais finansētājs savlaicīgi uzzina par projektiem, kam nepieciešams finansējums un var izteikt savu finansēšanas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dzīvojamo māju atjaunošana ir viens no prioritārajiem finansēšanas virzieniem arī Latvijas bankām, ko Asociācija un bankas dažādos formātos ir atkārtoti pievērsušas valsts sektora kolēģu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konkurence starp finansētājiem ļauj dzīvokļu īpašniekiem saņemt labāko piedāvājumu. Neatbalstām, ka sākotnēji veidojam atbalsta programmu, kuras ietvaros Altum iegūst priekšrocības un nedodam privātajiem finansētājiem pat iespēju saņemt finansējuma pieprasījumu finansējumam un attiecīgi sniegt finansēšanas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 sanāksmē FNA lūdzām ņemt vērā plānotās regulējuma izmaiņas par kopību reģistru. Ja kopībai būs reģistrācijas numurs, ja tiks atrisināts komercķīlas u.c. jautājumi, atbilstoši Augstākās tiesas Senāta sprieduma par judikatūras maiņu ieviešanai, tad ari dzīvokļu īpašnieku kopība varēs būt pilnvarota persona un iesniegt pieteikumu atbalsta programmā. Lūdzam precizēt anotāciju, ņemot vēra paredzamās regulējuma izmaiņas un programmas darbības periodu līdz 31.12.2029.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Augstākās tiesas Senāta spriedumu jau šobrīd kopība ar tās lēmumu var kļūt par pilnvaroto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plānotās 2 pieejas ir nepieciešamas, vai klienti spēs tās uztvert, kādas būs ALTUM izmaksas nodrošinot 2 pieeju īstenošanu, un vai 2 pieejas neradīs papildus administratīvo slogu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1. un 4. punkts nav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07.10.2024.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07.10.2024.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