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24-TA-952: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20. februāra noteikumos Nr. 113 "Eiropas Savienības Atveseļošanas un noturības mehānisma plāna 2.2. reformu un investīciju virziena "Uzņēmumu digitālā transformācija un inovācijas" 2.2.1.5.i. investīcijas "Mediju nozares uzņēmumu digitālās transformācijas veicināšana" pasākuma "Mācības mediju nozares speciālistu digitālās kompetences un zināšanu pilnveidošanai"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Šo noteikumu ietvaros piešķirto </w:t>
            </w:r>
            <w:r w:rsidR="00000000" w:rsidRPr="00000000" w:rsidDel="00000000">
              <w:rPr>
                <w:i w:val="1"/>
                <w:rtl w:val="0"/>
              </w:rPr>
              <w:t xml:space="preserve">de minimis</w:t>
            </w:r>
            <w:r w:rsidR="00000000" w:rsidRPr="00000000" w:rsidDel="00000000">
              <w:rPr>
                <w:rtl w:val="0"/>
              </w:rPr>
              <w:t xml:space="preserve"> atbalstu drīkst kumulēt ar citu </w:t>
            </w:r>
            <w:r w:rsidR="00000000" w:rsidRPr="00000000" w:rsidDel="00000000">
              <w:rPr>
                <w:i w:val="1"/>
                <w:rtl w:val="0"/>
              </w:rPr>
              <w:t xml:space="preserve">de minimis</w:t>
            </w:r>
            <w:r w:rsidR="00000000" w:rsidRPr="00000000" w:rsidDel="00000000">
              <w:rPr>
                <w:rtl w:val="0"/>
              </w:rPr>
              <w:t xml:space="preserve"> atbalstu, tai skaitā attiecībā uz vienām un tām pašām attiecināmajām izmaksām, līdz Komisijas regulas Nr. 2023/2831 3. panta 2. punktā noteiktajam attiecīgajam robežlielumam, kā arī drīkst kumulēt ar citu komercdarbības atbalstu, tai skaitā attiecībā uz vienām un tām pašām attiecināmajām izmaksām, ja netiek pārsniegta attiecīgā maksimālā atbalsta intensitāte vai atbalsta summa, kāda noteikta komercdarbības atbalsta programmā, </w:t>
            </w:r>
            <w:r w:rsidR="00000000" w:rsidRPr="00000000" w:rsidDel="00000000">
              <w:rPr>
                <w:i w:val="1"/>
                <w:rtl w:val="0"/>
              </w:rPr>
              <w:t xml:space="preserve">ad-hoc</w:t>
            </w:r>
            <w:r w:rsidR="00000000" w:rsidRPr="00000000" w:rsidDel="00000000">
              <w:rPr>
                <w:rtl w:val="0"/>
              </w:rPr>
              <w:t xml:space="preserve"> lēmumā vai Eiropas Komisijas lēmumā. </w:t>
            </w:r>
            <w:r w:rsidR="00000000" w:rsidRPr="00000000" w:rsidDel="00000000">
              <w:rPr>
                <w:i w:val="1"/>
                <w:rtl w:val="0"/>
              </w:rPr>
              <w:t xml:space="preserve">De minimis</w:t>
            </w:r>
            <w:r w:rsidR="00000000" w:rsidRPr="00000000" w:rsidDel="00000000">
              <w:rPr>
                <w:rtl w:val="0"/>
              </w:rPr>
              <w:t xml:space="preserve"> atbalstu ar citu </w:t>
            </w:r>
            <w:r w:rsidR="00000000" w:rsidRPr="00000000" w:rsidDel="00000000">
              <w:rPr>
                <w:i w:val="1"/>
                <w:rtl w:val="0"/>
              </w:rPr>
              <w:t xml:space="preserve">de minimis</w:t>
            </w:r>
            <w:r w:rsidR="00000000" w:rsidRPr="00000000" w:rsidDel="00000000">
              <w:rPr>
                <w:rtl w:val="0"/>
              </w:rPr>
              <w:t xml:space="preserve"> atbalstu par vienām un tām pašām izmaksām var apvienot, ja pēc atbalstu apvienošanas atbalsta vienībai vai izmaksu pozīcijai attiecīgā maksimālā atbalsta intensitāte nepārsniedz 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skaidrot, par kādu </w:t>
            </w:r>
            <w:r w:rsidR="00000000" w:rsidRPr="00000000" w:rsidDel="00000000">
              <w:rPr>
                <w:i w:val="1"/>
                <w:rtl w:val="0"/>
              </w:rPr>
              <w:t xml:space="preserve">ad-hoc</w:t>
            </w:r>
            <w:r w:rsidR="00000000" w:rsidRPr="00000000" w:rsidDel="00000000">
              <w:rPr>
                <w:rtl w:val="0"/>
              </w:rPr>
              <w:t xml:space="preserve"> lēmumu un Eiropas Komisijas lēmumu noteikumu 51. punktā (projekta 16. punkts) ir runa. Vēršam uzmanību, ka saskaņā ar Līguma par Eiropas Savienības darbību 288.pantu lēmumi, kuros ir norādīti konkrēti adresāti, ir saistoši tikai šiem adresātiem. Ja lēmumu adresāts ir dalībvalstis un ir nepieciešams to normas padarīt saistošas privātpersonām, tad lēmumi ir jāpārņem nacionālajā normatīvajā aktā. Attiecīgi aicinām sniegt skaidrojumu anotācijā par atsauču tvērumu un pieļaujamību. Ja nepieciešams, lūdzam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24-TA-952</w:t>
    </w:r>
    <w:r>
      <w:br/>
    </w:r>
    <w:r w:rsidR="00000000" w:rsidRPr="00000000" w:rsidDel="00000000">
      <w:rPr>
        <w:rtl w:val="0"/>
      </w:rPr>
      <w:t xml:space="preserve">Izdrukāts 13.06.2024. 18.33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24-TA-952</w:t>
    </w:r>
    <w:r>
      <w:br/>
    </w:r>
    <w:r w:rsidR="00000000" w:rsidRPr="00000000" w:rsidDel="00000000">
      <w:rPr>
        <w:rtl w:val="0"/>
      </w:rPr>
      <w:t xml:space="preserve">Izdrukāts 13.06.2024. 18.33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Atzinumi_24-TA-952.docx</dc:title>
</cp:coreProperties>
</file>

<file path=docProps/custom.xml><?xml version="1.0" encoding="utf-8"?>
<Properties xmlns="http://schemas.openxmlformats.org/officeDocument/2006/custom-properties" xmlns:vt="http://schemas.openxmlformats.org/officeDocument/2006/docPropsVTypes"/>
</file>