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22-TA-3243: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4.2.2.3. pasākuma "Pedagogu profesionālās darbības atbalsta sistēmas attīstība mācību procesa kvalitātes pilnveidei"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(Profesionālā atbalsta sistēmas shēma)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Pasākuma ietvaros plānotais kopējais finansējums ir 67 841 032 euro (no tā elastības finansējums – 18 030 262 euro), tai skaitā Eiropas Sociālā fonda Plus finansējums – 57 664 877 euro (no tā elastības finansējums – 15 325 723 euro) un valsts budžeta līdzfinansējums – 10 176 155 euro (no tā elastības finansējums – 2 704 539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projektā norādīto elastības finansējumu, jo tas šobrīd nesakrīt ar FM rīcībā esošo informāciju par IZM pārziņā esošo pasākumu elastības finansējuma apjomu, vai arī iesūtīt FM precizētu Programmas papildinājuma failu ar pilnu informāciju par IZM pārziņā esošo visu pasākumu finansējuma, t.sk. elastības finansējuma sadalījumu. Par šo jautājumu š.g. 2.maijā FM elektroniski nosūtīja e-pastu IZM, lūdzot precizēt finansējuma sadalījumu.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Lapsa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22.1.3. šo noteikumu </w:t>
            </w:r>
            <w:r w:rsidR="00000000" w:rsidRPr="00000000" w:rsidDel="00000000">
              <w:rPr>
                <w:rtl w:val="0"/>
              </w:rPr>
              <w:t xml:space="preserve">14.1.</w:t>
            </w:r>
            <w:r w:rsidR="00000000" w:rsidRPr="00000000" w:rsidDel="00000000">
              <w:rPr>
                <w:rtl w:val="0"/>
              </w:rPr>
              <w:t xml:space="preserve"> apakšpunktā minēto sadarbības partneru projekta īstenošanas personāla izmaksas (izņemot virsstundas) šo noteikumu </w:t>
            </w:r>
            <w:r w:rsidR="00000000" w:rsidRPr="00000000" w:rsidDel="00000000">
              <w:rPr>
                <w:rtl w:val="0"/>
              </w:rPr>
              <w:t xml:space="preserve">20.2.</w:t>
            </w:r>
            <w:r w:rsidR="00000000" w:rsidRPr="00000000" w:rsidDel="00000000">
              <w:rPr>
                <w:rtl w:val="0"/>
              </w:rPr>
              <w:t xml:space="preserve"> un </w:t>
            </w:r>
            <w:r w:rsidR="00000000" w:rsidRPr="00000000" w:rsidDel="00000000">
              <w:rPr>
                <w:rtl w:val="0"/>
              </w:rPr>
              <w:t xml:space="preserve">20.3.</w:t>
            </w:r>
            <w:r w:rsidR="00000000" w:rsidRPr="00000000" w:rsidDel="00000000">
              <w:rPr>
                <w:rtl w:val="0"/>
              </w:rPr>
              <w:t xml:space="preserve"> apakšpunktā minēto atbalstāmo darbību īstenošanai. Ja šo noteikumu </w:t>
            </w:r>
            <w:r w:rsidR="00000000" w:rsidRPr="00000000" w:rsidDel="00000000">
              <w:rPr>
                <w:rtl w:val="0"/>
              </w:rPr>
              <w:t xml:space="preserve">14.1.</w:t>
            </w:r>
            <w:r w:rsidR="00000000" w:rsidRPr="00000000" w:rsidDel="00000000">
              <w:rPr>
                <w:rtl w:val="0"/>
              </w:rPr>
              <w:t xml:space="preserve"> apakšpunktā minētā sadarbības partnera personāla iesaiste šo noteikumu </w:t>
            </w:r>
            <w:r w:rsidR="00000000" w:rsidRPr="00000000" w:rsidDel="00000000">
              <w:rPr>
                <w:rtl w:val="0"/>
              </w:rPr>
              <w:t xml:space="preserve">20.2.</w:t>
            </w:r>
            <w:r w:rsidR="00000000" w:rsidRPr="00000000" w:rsidDel="00000000">
              <w:rPr>
                <w:rtl w:val="0"/>
              </w:rPr>
              <w:t xml:space="preserve"> un </w:t>
            </w:r>
            <w:r w:rsidR="00000000" w:rsidRPr="00000000" w:rsidDel="00000000">
              <w:rPr>
                <w:rtl w:val="0"/>
              </w:rPr>
              <w:t xml:space="preserve">20.3.</w:t>
            </w:r>
            <w:r w:rsidR="00000000" w:rsidRPr="00000000" w:rsidDel="00000000">
              <w:rPr>
                <w:rtl w:val="0"/>
              </w:rPr>
              <w:t xml:space="preserve"> apakšpunktā minēto atbalstāmo darbību īstenošanai ir nodrošināta saskaņā ar daļlaika attiecināmības principu, attiecināma ir ne mazāk kā 10 procentu noslodze;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2021.-2027. gada plānošanas periodā tiek palielināts tiešo attiecināmo personāla izmaksu apjoms (personāla izmaksas ietver arī, piemēram, veselības apdrošināšanu) no kura aprēķina netiešās izmaksas, secīgi palielinot arī netiešās izmaksas, un ņemot vērā precizētajā MK noteikumu projektā samazināto (ne mazāk kā 10%) projekta sadarbības partneru īstenošanas personāla noslodzi, kas būtiski atšķiras no vadošās iestādes vadlīniju Nr.1.2. “Vadlīnijas attiecināmo izmaksu noteikšanai Eiropas Savienības kohēzijas politikas programmas 2021.-2027.gada plānošanas periodā” 7.3.apakšpunktā noteikto, ka projekta tiešajās attiecināmajās personāla izmaksās var iekļaut to darbinieku personāla izmaksas, kuri noteiktā laika posmā ne mazāk kā 30% no normālā darba laika katrā mēnesī veic pienākumus, kas saistīti ar projektu, un tas ir pamatots ar atbilstošiem izmaksas pamatojošiem dokumentiem, kā arī administratīvā sloga palielināšanās risku gan finansējuma saņēmējam, gan sadarbības iestēdei, lūdzam 22.1.3.apakšpunktā minētās izmaksas segt no netiešajām attiecināmajām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tomēr šādas izmaksas tiek plānotas no projekta tiešajām attiecināmajām izmaksām, tad nosacījums projekta sadarbības partneru īstenošanas personāla noslodzei ir strādāt ne mazāk kā 30%, atbildoši vadlīniju 7.3. apakšpunktam, vai izvērtēt vienkāršoto izmaksu piemērošanas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precizēt visus saistītos punktus noteikumu projektā un informāciju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Lapsa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sēdes protokollēmuma projekta 4.punktā paredzēto, ka Izglītības un zinātnes ministrija vēl tikai vērtēs projektā īstenoto darbību ilgtspēju, tai skaitā tālāko attīstību, nepieciešamo resursu apjomu un finansējuma avotus, uzskatām, ka šobrīd nav pamatojuma anotācijā iekļaut informāciju par papildus nepieciešamo finansējumu indikatīvi 1,4 milj euro un 4,7 milj euro apmērā profesionālā atbalsta funkcijas īstenošanai pēc projekta īstenošanas. Līdz ar to minētā informācija anotācijā ir svītrojama.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vērtējot iespējamo papildu finansējuma nepieciešamību ilgtspējas pasākumu nodrošināšanai, ir jāņem vērā jau šobrīd no valsts budžeta līdzekļiem nodrošinātais finansējums metodiskajam atbalstam, kā arī, ja tiks secināts, ka ilgtspējas pasākumu īstenošanai ir nepieciešams papildu finansējums, tad jautājums ir skatāms attiecīgā gada budžeta sagatavošanas procesā, ņemot vērā valsts budžeta finansiālās iespējas. Bez tam ņemot vērā, ka š.g. 30.aprīlī ir stājušies spēkā ES Stabilitātes un izaugsmes pakta reformas ietvaros pieņemtie tiesību akti (jaunie ES fiskālie noteikumi), kas līdz ar Fiskālās disciplīnas likuma nosacījumiem būs jāņem vērā sagatavojot gadskārtējo valsts budžeta likumprojektu, iespējas piešķirt papildu finanšu resursus turpmākajos gados būs ierobežotas.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Remeiķe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ka līdz vienošanās par projekta īstenošanu noslēgšanai ar Centrālo finanšu un līgumu aģentūru 4.2.2.3. pasākuma "Pedagogu profesionālās darbības atbalsta sistēmas attīstība mācību procesa kvalitātes pilnveidei" (turpmāk - 4.2.2.3. pasākums) īstenošanai nepieciešamo finansējumu attiecināmo izmaksu segšanai Valsts izglītības satura centram kā 4.2.2.3. pasākuma plānotajam finansējuma saņēmējam līdz 1 533 960 euro apmērā 2024. gadā nodrošina no 74. resora "Gadskārtējā valsts budžeta izpildes procesā pārdalāmais finansējums" programmas 80.00.00 "Nesadalītais finansējums Eiropas Savienības politiku instrumentu un pārējās ārvalstu finanšu palīdzības līdzfinansēto projektu un pasākumu īstenošanai" normatīvajos aktos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2018. gada 17. jūlija Ministru kabineta noteikumu Nr. 421 "Kārtība, kādā veic gadskārtējā valsts budžeta likumā noteiktās apropriācijas izmaiņas" 24.2. apakšpunkts paredz, ka no 80.00.00. programmas līdzekļus var pārdalīt izņēmuma kārtā pirms Eiropas Savienības fondu projektu iesnieguma apstiprināšanas sadarbības iestādē, ja Ministru kabinets, pamatojoties uz iesniegto argumentāciju un risku analīzi, ir pieņēmis lēmumu par konkrētā plānotā projekta izdevumu priekšfinansēšanu noteiktā apjomā un izdevumu pozīcijām atbilstoši projektā izvirzītajam mērķim. Attiecīgi lūdzam papildināt anotāciju ar detalizētiem aprēķiniem Ministru kabineta sēdes protokollēmuma projekta 2.punktā paredzētajam finansējumam 1 533 960 euro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Remeiķe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22.9. ārvalstu komandējumu un dienesta braucienu izmaksas atbilstoši normatīvajiem aktiem par kārtību, kādā atlīdzināmi ar komandējumiem saistītie izdevumi, finansējuma saņēmēja projekta vadības un īstenošanas personālam šo noteikumu </w:t>
            </w:r>
            <w:r w:rsidR="00000000" w:rsidRPr="00000000" w:rsidDel="00000000">
              <w:rPr>
                <w:rtl w:val="0"/>
              </w:rPr>
              <w:t xml:space="preserve">20.1.</w:t>
            </w:r>
            <w:r w:rsidR="00000000" w:rsidRPr="00000000" w:rsidDel="00000000">
              <w:rPr>
                <w:rtl w:val="0"/>
              </w:rPr>
              <w:t xml:space="preserve">, </w:t>
            </w:r>
            <w:r w:rsidR="00000000" w:rsidRPr="00000000" w:rsidDel="00000000">
              <w:rPr>
                <w:rtl w:val="0"/>
              </w:rPr>
              <w:t xml:space="preserve">20.3.</w:t>
            </w:r>
            <w:r w:rsidR="00000000" w:rsidRPr="00000000" w:rsidDel="00000000">
              <w:rPr>
                <w:rtl w:val="0"/>
              </w:rPr>
              <w:t xml:space="preserve">, </w:t>
            </w:r>
            <w:r w:rsidR="00000000" w:rsidRPr="00000000" w:rsidDel="00000000">
              <w:rPr>
                <w:rtl w:val="0"/>
              </w:rPr>
              <w:t xml:space="preserve">20.4.</w:t>
            </w:r>
            <w:r w:rsidR="00000000" w:rsidRPr="00000000" w:rsidDel="00000000">
              <w:rPr>
                <w:rtl w:val="0"/>
              </w:rPr>
              <w:t xml:space="preserve"> un </w:t>
            </w:r>
            <w:r w:rsidR="00000000" w:rsidRPr="00000000" w:rsidDel="00000000">
              <w:rPr>
                <w:rtl w:val="0"/>
              </w:rPr>
              <w:t xml:space="preserve">20.6.</w:t>
            </w:r>
            <w:r w:rsidR="00000000" w:rsidRPr="00000000" w:rsidDel="00000000">
              <w:rPr>
                <w:rtl w:val="0"/>
              </w:rPr>
              <w:t xml:space="preserve"> apakšpunktā minēto atbalstāmo darbību īstenošanai, ja tās ir skaidri saistāmas ar projekta rezultātu sasniegšanu;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sīkāk skaidrot ārvalstu komandējumu būtību, kādus mērķus jāsasniedz 20.1., 20.3. un 20.4. darbības ietvaros. Nepieciešamības gadījuma dzēst neatbilstošo darbību numurus no 22.9.punkta.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iekļaut atsauci uz 20.7.darbību "Projekta vadības un īstenošanas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Tatjana Tokareva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Finansējuma saņēmējam līdz projekta iesnieguma iesniegšanai ir pienākums izstrādāt iekšējās kontroles sistēmu interešu konflikta, krāpšanas un korupcijas riska novēršanai atbilstoši normatīvajiem aktiem par iekšējās kontroles sistēmas pamatprasībām korupcijas un interešu konflikta riska novēršanai publiskas personas institūcijā un Eiropas Parlamenta un Padomes 2018. gada 18. jūlija Regulas (ES, Euratom) 2018/1046 (2018. gada 18. jūlijs) par finanšu noteikumiem, ko piemēro Savienības vispārējam budžetam, ar kuru groza Regulas (ES) Nr. 1296/2013, (ES) Nr. 1301/2013, (ES) Nr. 1303/2013, (ES) Nr. 1304/2013, (ES) Nr. 1309/2013, (ES) Nr. 1316/2013, (ES) Nr. 223/2014, (ES) Nr. 283/2014 un Lēmumu Nr. 541/2014/ES un atceļ Regulu (ES, Euratom) Nr. 966/2012 Komisijas regulas Nr. 2018/1046 (turpmāk - Regula 2018/1046) 61. pantam, tajā ietverot vismaz šādus aspektus: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noteikumu projektā ir svītrota darbība, kas paredzēja finansējuma saņēmēja grantu konkursu organizēšanu (iepriekš 20.6.punkts), pasākums vairs neatbilst vairāku līmeņu ieviešanas shēmai, līdz ar to lūdzam dzēst 34.punktu. Tā vietā lūdzam iekļaut pienākumu finansējuma saņēmējam ievērot interešu konflikta neesamību saskaņā ar 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panta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Finansējuma saņēmējs projekta īstenošanas laikā nodrošina interešu konflikta neesamību saskaņā ar 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panta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Rasa Teivāne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novērst matemātisko neprecizitāti starp finansējuma avotiem anotācijas 3.sadaļas 6.punktā (1 euro nobīde).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Remeiķe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ka līdz vienošanās par projekta īstenošanu noslēgšanai ar Centrālo finanšu un līgumu aģentūru 4.2.2.3. pasākuma "Pedagogu profesionālās darbības atbalsta sistēmas attīstība mācību procesa kvalitātes pilnveidei" (turpmāk - 4.2.2.3. pasākums) īstenošanai nepieciešamo finansējumu attiecināmo izmaksu segšanai Valsts izglītības satura centram kā 4.2.2.3. pasākuma plānotajam finansējuma saņēmējam līdz 1 533 960 euro apmērā 2024. gadā nodrošina no 74. resora "Gadskārtējā valsts budžeta izpildes procesā pārdalāmais finansējums" programmas 80.00.00 "Nesadalītais finansējums Eiropas Savienības politiku instrumentu un pārējās ārvalstu finanšu palīdzības līdzfinansēto projektu un pasākumu īstenošanai" normatīvajos aktos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sēdes protokollēmuma 2. punkta redakciju nosakot, kurš subjekts pieprasīs punktā minētā finansējuma 1 533 960 euro apmērā  pārdali no budžeta resora „74. Gadskārtējā valsts budžeta izpildes procesā pārdalāmais finansējums” programmas 80.00.00 „Nesadalītais finansējums Eiropas Savienības politiku instrumentu un pārējās ārvalstu finanšu palīdzības līdzfinansēto projektu un pasākumu īstenošanai”".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22-TA-3243</w:t>
    </w:r>
    <w:r>
      <w:br/>
    </w:r>
    <w:r w:rsidR="00000000" w:rsidRPr="00000000" w:rsidDel="00000000">
      <w:rPr>
        <w:rtl w:val="0"/>
      </w:rPr>
      <w:t xml:space="preserve">Izdrukāts 07.05.2024. 17.09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22-TA-3243</w:t>
    </w:r>
    <w:r>
      <w:br/>
    </w:r>
    <w:r w:rsidR="00000000" w:rsidRPr="00000000" w:rsidDel="00000000">
      <w:rPr>
        <w:rtl w:val="0"/>
      </w:rPr>
      <w:t xml:space="preserve">Izdrukāts 07.05.2024. 17.09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Atzinumi_22-TA-3243.docx</dc:title>
</cp:coreProperties>
</file>

<file path=docProps/custom.xml><?xml version="1.0" encoding="utf-8"?>
<Properties xmlns="http://schemas.openxmlformats.org/officeDocument/2006/custom-properties" xmlns:vt="http://schemas.openxmlformats.org/officeDocument/2006/docPropsVTypes"/>
</file>