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23-TA-469: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4. oktobra noteikumos Nr. 619 "Eiropas Savienības Atveseļošanas un noturības mehānisma plāna 3.1.1.5.i investīcijas "Izglītības iestāžu infrastruktūras pilnveide un aprīkošana"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norādīt anotācijas 1.3.apakšsadaļā </w:t>
            </w:r>
            <w:r w:rsidR="00000000" w:rsidRPr="00000000" w:rsidDel="00000000">
              <w:rPr>
                <w:rtl w:val="0"/>
              </w:rPr>
              <w:t xml:space="preserve">pilno Eiropas Parlamenta un Padomes regula Nr. 2021/241 nosaukumu un pieņemšanas datumu, proti, "</w:t>
            </w:r>
            <w:r w:rsidR="00000000" w:rsidRPr="00000000" w:rsidDel="00000000">
              <w:rPr>
                <w:rtl w:val="0"/>
              </w:rPr>
              <w:t xml:space="preserve">Eiropas Parlamenta un Padomes regula Nr. 2021/241 (2021. gada 12. februāris), ar ko izveido Atveseļošanas un noturības mehānismu</w:t>
            </w:r>
            <w:r w:rsidR="00000000" w:rsidRPr="00000000" w:rsidDel="00000000">
              <w:rPr>
                <w:rtl w:val="0"/>
              </w:rPr>
              <w:t xml:space="preserve">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Darja Zaharova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23-TA-469</w:t>
    </w:r>
    <w:r>
      <w:br/>
    </w:r>
    <w:r w:rsidR="00000000" w:rsidRPr="00000000" w:rsidDel="00000000">
      <w:rPr>
        <w:rtl w:val="0"/>
      </w:rPr>
      <w:t xml:space="preserve">Izdrukāts 02.03.2023. 14.07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23-TA-469</w:t>
    </w:r>
    <w:r>
      <w:br/>
    </w:r>
    <w:r w:rsidR="00000000" w:rsidRPr="00000000" w:rsidDel="00000000">
      <w:rPr>
        <w:rtl w:val="0"/>
      </w:rPr>
      <w:t xml:space="preserve">Izdrukāts 02.03.2023. 14.07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