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6. februāra noteikumos Nr. 89 "Valsts informācijas resursu, sistēmu un sadarbspējas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17., 18., 21., 23. un 24. punktu tiek veiktas izmaiņas Ministru kabineta 2024. gada 6. februāra noteikumu Nr. 89 "Valsts informācijas resursu, sistēmu un sadarbspējas informācijas sistēmas noteikumi" 28., 29., 33.1,  34. un 36. punktos, kuros ir noteiktas informācijas sniegšanas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izvērtēt minētajos punktos veikto izmaiņu ietekmi uz informācijas sniegšanas apjomu un, ja attiecināms, pamatojoties uz izvērtējumu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(turpmāk - vadlīnijas)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vadlīnijas, kas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10.11.2025.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10.11.2025.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Atzinumi_25-TA-1915.docx</dc:title>
</cp:coreProperties>
</file>

<file path=docProps/custom.xml><?xml version="1.0" encoding="utf-8"?>
<Properties xmlns="http://schemas.openxmlformats.org/officeDocument/2006/custom-properties" xmlns:vt="http://schemas.openxmlformats.org/officeDocument/2006/docPropsVTypes"/>
</file>