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migrantu un nelabvēlīgā situācijā esošo grupu sociāli ekonomisko integrāciju, izmantojot integrētus pasākumus, tostarp mājokļu un sociālo pakalpojumu jomā”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ministrijai nav iespējams precīzi izvērtēt, kuras noteikumu projekta normas ir ieviestas atbilstoši noteikumu projektā norādītajām Eiropas Savienības regulām. Ņemot vērā minēto, Tieslietu ministrija varēs sniegt precīzu izvērtējumu par noteikumu projekta atbilstību minētajām Eiropas Savienības regulām pēc anotācijas precizēšanas, precizējot anotācijas V sadaļu, jo īpaši tās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27.03.2023.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27.03.2023.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