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B91B59" w:rsidRDefault="001A6C3F">
      <w:pPr>
        <w:spacing w:before="240" w:after="240"/>
        <w:rPr>
          <w:b/>
          <w:sz w:val="28"/>
        </w:rPr>
      </w:pPr>
      <w:r>
        <w:rPr>
          <w:b/>
          <w:sz w:val="28"/>
        </w:rPr>
        <w:t>22-TA-2361: Noteikumu projekts (Groza manuāli)</w:t>
      </w:r>
    </w:p>
    <w:p w:rsidR="00B91B59" w:rsidRDefault="001A6C3F">
      <w:pPr>
        <w:pStyle w:val="titleparagraph"/>
        <w:contextualSpacing w:val="0"/>
      </w:pPr>
      <w:r>
        <w:t>Grozījumi Ministru kabineta 2011. gada 25. janvāra noteikumos Nr. 75 "Noteikumi par aktīvo nodarbinātības pasākumu un preventīvo bezdarba samazināšanas pasākumu organizēšanas un finansēšanas kārtību un pasākumu īstenotāju izvēles principiem"</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1015"/>
        <w:gridCol w:w="3388"/>
        <w:gridCol w:w="3388"/>
        <w:gridCol w:w="3388"/>
        <w:gridCol w:w="3388"/>
      </w:tblGrid>
      <w:tr w:rsidR="00B91B59" w:rsidTr="00BA0414">
        <w:tc>
          <w:tcPr>
            <w:tcW w:w="1015" w:type="dxa"/>
            <w:shd w:val="clear" w:color="auto" w:fill="FFFFFF"/>
            <w:noWrap/>
            <w:tcMar>
              <w:top w:w="75" w:type="dxa"/>
              <w:left w:w="75" w:type="dxa"/>
              <w:bottom w:w="75" w:type="dxa"/>
              <w:right w:w="75" w:type="dxa"/>
            </w:tcMar>
            <w:vAlign w:val="center"/>
          </w:tcPr>
          <w:p w:rsidR="00B91B59" w:rsidRDefault="001A6C3F">
            <w:pPr>
              <w:jc w:val="center"/>
              <w:rPr>
                <w:b/>
              </w:rPr>
            </w:pPr>
            <w:proofErr w:type="spellStart"/>
            <w:r>
              <w:rPr>
                <w:b/>
              </w:rPr>
              <w:t>Nr.p.k</w:t>
            </w:r>
            <w:proofErr w:type="spellEnd"/>
            <w:r>
              <w:rPr>
                <w:b/>
              </w:rPr>
              <w:t>.</w:t>
            </w:r>
          </w:p>
        </w:tc>
        <w:tc>
          <w:tcPr>
            <w:tcW w:w="3388" w:type="dxa"/>
            <w:shd w:val="clear" w:color="auto" w:fill="FFFFFF"/>
            <w:noWrap/>
            <w:tcMar>
              <w:top w:w="75" w:type="dxa"/>
              <w:left w:w="75" w:type="dxa"/>
              <w:bottom w:w="75" w:type="dxa"/>
              <w:right w:w="75" w:type="dxa"/>
            </w:tcMar>
            <w:vAlign w:val="center"/>
          </w:tcPr>
          <w:p w:rsidR="00B91B59" w:rsidRDefault="001A6C3F">
            <w:pPr>
              <w:jc w:val="center"/>
              <w:rPr>
                <w:b/>
              </w:rPr>
            </w:pPr>
            <w:r>
              <w:rPr>
                <w:b/>
              </w:rPr>
              <w:t>Saskaņ</w:t>
            </w:r>
            <w:r>
              <w:rPr>
                <w:b/>
              </w:rPr>
              <w:t>ošanai nosūtītā projekta redakcija</w:t>
            </w:r>
          </w:p>
        </w:tc>
        <w:tc>
          <w:tcPr>
            <w:tcW w:w="3388" w:type="dxa"/>
            <w:shd w:val="clear" w:color="auto" w:fill="FFFFFF"/>
            <w:noWrap/>
            <w:tcMar>
              <w:top w:w="75" w:type="dxa"/>
              <w:left w:w="75" w:type="dxa"/>
              <w:bottom w:w="75" w:type="dxa"/>
              <w:right w:w="75" w:type="dxa"/>
            </w:tcMar>
            <w:vAlign w:val="center"/>
          </w:tcPr>
          <w:p w:rsidR="00B91B59" w:rsidRDefault="001A6C3F">
            <w:pPr>
              <w:jc w:val="center"/>
              <w:rPr>
                <w:b/>
              </w:rPr>
            </w:pPr>
            <w:r>
              <w:rPr>
                <w:b/>
              </w:rPr>
              <w:t>Iebildums / Priekšlikums</w:t>
            </w:r>
          </w:p>
        </w:tc>
        <w:tc>
          <w:tcPr>
            <w:tcW w:w="3388" w:type="dxa"/>
            <w:shd w:val="clear" w:color="auto" w:fill="FFFFFF"/>
            <w:noWrap/>
            <w:tcMar>
              <w:top w:w="75" w:type="dxa"/>
              <w:left w:w="75" w:type="dxa"/>
              <w:bottom w:w="75" w:type="dxa"/>
              <w:right w:w="75" w:type="dxa"/>
            </w:tcMar>
            <w:vAlign w:val="center"/>
          </w:tcPr>
          <w:p w:rsidR="00B91B59" w:rsidRDefault="001A6C3F">
            <w:pPr>
              <w:jc w:val="center"/>
              <w:rPr>
                <w:b/>
              </w:rPr>
            </w:pPr>
            <w:r>
              <w:rPr>
                <w:b/>
              </w:rPr>
              <w:t>Apstrādes informācija</w:t>
            </w:r>
          </w:p>
        </w:tc>
        <w:tc>
          <w:tcPr>
            <w:tcW w:w="3388" w:type="dxa"/>
            <w:shd w:val="clear" w:color="auto" w:fill="FFFFFF"/>
            <w:noWrap/>
            <w:tcMar>
              <w:top w:w="75" w:type="dxa"/>
              <w:left w:w="75" w:type="dxa"/>
              <w:bottom w:w="75" w:type="dxa"/>
              <w:right w:w="75" w:type="dxa"/>
            </w:tcMar>
            <w:vAlign w:val="center"/>
          </w:tcPr>
          <w:p w:rsidR="00B91B59" w:rsidRDefault="001A6C3F">
            <w:pPr>
              <w:jc w:val="center"/>
              <w:rPr>
                <w:b/>
              </w:rPr>
            </w:pPr>
            <w:r>
              <w:rPr>
                <w:b/>
              </w:rPr>
              <w:t>Galīgā redakcija</w:t>
            </w:r>
          </w:p>
        </w:tc>
      </w:tr>
      <w:tr w:rsidR="00B91B59" w:rsidTr="00BA0414">
        <w:tc>
          <w:tcPr>
            <w:tcW w:w="1015" w:type="dxa"/>
            <w:shd w:val="clear" w:color="auto" w:fill="FFFFFF"/>
            <w:noWrap/>
            <w:tcMar>
              <w:top w:w="75" w:type="dxa"/>
              <w:left w:w="75" w:type="dxa"/>
              <w:bottom w:w="75" w:type="dxa"/>
              <w:right w:w="75" w:type="dxa"/>
            </w:tcMar>
          </w:tcPr>
          <w:p w:rsidR="00B91B59" w:rsidRDefault="001A6C3F">
            <w:r>
              <w:t>1.</w:t>
            </w:r>
          </w:p>
        </w:tc>
        <w:tc>
          <w:tcPr>
            <w:tcW w:w="3388" w:type="dxa"/>
            <w:shd w:val="clear" w:color="auto" w:fill="FFFFFF"/>
            <w:noWrap/>
            <w:tcMar>
              <w:top w:w="75" w:type="dxa"/>
              <w:left w:w="75" w:type="dxa"/>
              <w:bottom w:w="75" w:type="dxa"/>
              <w:right w:w="75" w:type="dxa"/>
            </w:tcMar>
          </w:tcPr>
          <w:p w:rsidR="00B91B59" w:rsidRDefault="00BA0414">
            <w:r>
              <w:rPr>
                <w:b/>
              </w:rPr>
              <w:t xml:space="preserve">Noteikumu (grozījumu) projekts </w:t>
            </w:r>
            <w:r w:rsidR="001A6C3F">
              <w:t xml:space="preserve"> </w:t>
            </w:r>
          </w:p>
        </w:tc>
        <w:tc>
          <w:tcPr>
            <w:tcW w:w="3388" w:type="dxa"/>
            <w:shd w:val="clear" w:color="auto" w:fill="FFFFFF"/>
            <w:noWrap/>
            <w:tcMar>
              <w:top w:w="75" w:type="dxa"/>
              <w:left w:w="75" w:type="dxa"/>
              <w:bottom w:w="75" w:type="dxa"/>
              <w:right w:w="75" w:type="dxa"/>
            </w:tcMar>
          </w:tcPr>
          <w:p w:rsidR="00B91B59" w:rsidRDefault="00BA0414">
            <w:pPr>
              <w:spacing w:after="240"/>
              <w:rPr>
                <w:b/>
              </w:rPr>
            </w:pPr>
            <w:r>
              <w:rPr>
                <w:b/>
              </w:rPr>
              <w:t>Priekšlikums</w:t>
            </w:r>
            <w:r w:rsidR="001A6C3F">
              <w:rPr>
                <w:b/>
              </w:rPr>
              <w:t xml:space="preserve"> (</w:t>
            </w:r>
            <w:r>
              <w:rPr>
                <w:b/>
              </w:rPr>
              <w:t>LM</w:t>
            </w:r>
            <w:r w:rsidR="001A6C3F">
              <w:rPr>
                <w:b/>
              </w:rPr>
              <w:t xml:space="preserve"> - </w:t>
            </w:r>
            <w:r>
              <w:rPr>
                <w:b/>
              </w:rPr>
              <w:t>11</w:t>
            </w:r>
            <w:r w:rsidR="001A6C3F">
              <w:rPr>
                <w:b/>
              </w:rPr>
              <w:t>.10.2022.)</w:t>
            </w:r>
          </w:p>
          <w:p w:rsidR="00B91B59" w:rsidRDefault="00BA0414">
            <w:bookmarkStart w:id="0" w:name="_GoBack"/>
            <w:bookmarkEnd w:id="0"/>
            <w:r w:rsidRPr="00BA0414">
              <w:t>Lai novērstu 2022.gada 21.jūnija grozījumu Noteikumos radušos nepilnību, Noteikumu 192.20 nepieciešams veikt tehnisku grozījumu, precizējot, ka par valsts atbalsta piešķiršanas brīdi uzskata šo noteikumu 82., 109.5, 109.24, 119. un 133. punktā minētā līguma spēkā stāšanās datumu.</w:t>
            </w:r>
          </w:p>
          <w:p w:rsidR="00B91B59" w:rsidRDefault="001A6C3F">
            <w:pPr>
              <w:spacing w:before="240" w:after="240"/>
              <w:rPr>
                <w:i/>
              </w:rPr>
            </w:pPr>
            <w:r>
              <w:rPr>
                <w:i/>
              </w:rPr>
              <w:t>Piedāvātā redakcija</w:t>
            </w:r>
          </w:p>
          <w:p w:rsidR="00B91B59" w:rsidRDefault="001A6C3F">
            <w:r>
              <w:t>-</w:t>
            </w:r>
          </w:p>
        </w:tc>
        <w:tc>
          <w:tcPr>
            <w:tcW w:w="3388" w:type="dxa"/>
            <w:shd w:val="clear" w:color="auto" w:fill="FFFFFF"/>
            <w:noWrap/>
            <w:tcMar>
              <w:top w:w="75" w:type="dxa"/>
              <w:left w:w="75" w:type="dxa"/>
              <w:bottom w:w="75" w:type="dxa"/>
              <w:right w:w="75" w:type="dxa"/>
            </w:tcMar>
          </w:tcPr>
          <w:p w:rsidR="00B91B59" w:rsidRPr="00BA0414" w:rsidRDefault="001A6C3F" w:rsidP="00BA0414">
            <w:pPr>
              <w:spacing w:after="240"/>
              <w:rPr>
                <w:b/>
              </w:rPr>
            </w:pPr>
            <w:r>
              <w:rPr>
                <w:b/>
              </w:rPr>
              <w:t>Ņemts vērā</w:t>
            </w:r>
            <w:r>
              <w:t> </w:t>
            </w:r>
          </w:p>
        </w:tc>
        <w:tc>
          <w:tcPr>
            <w:tcW w:w="3388" w:type="dxa"/>
            <w:shd w:val="clear" w:color="auto" w:fill="FFFFFF"/>
            <w:noWrap/>
            <w:tcMar>
              <w:top w:w="75" w:type="dxa"/>
              <w:left w:w="75" w:type="dxa"/>
              <w:bottom w:w="75" w:type="dxa"/>
              <w:right w:w="75" w:type="dxa"/>
            </w:tcMar>
          </w:tcPr>
          <w:p w:rsidR="00BA0414" w:rsidRDefault="00BA0414" w:rsidP="00BA0414">
            <w:pPr>
              <w:numPr>
                <w:ilvl w:val="1"/>
                <w:numId w:val="1"/>
              </w:numPr>
              <w:ind w:firstLine="706"/>
            </w:pPr>
            <w:r>
              <w:t>34. Izteikt 192.</w:t>
            </w:r>
            <w:r>
              <w:rPr>
                <w:vertAlign w:val="superscript"/>
              </w:rPr>
              <w:t>20</w:t>
            </w:r>
            <w:r>
              <w:t> punktu šādā redakcijā:</w:t>
            </w:r>
          </w:p>
          <w:p w:rsidR="00BA0414" w:rsidRDefault="00BA0414" w:rsidP="00BA0414">
            <w:pPr>
              <w:numPr>
                <w:ilvl w:val="1"/>
                <w:numId w:val="1"/>
              </w:numPr>
              <w:ind w:firstLine="0"/>
            </w:pPr>
            <w:r>
              <w:t>"192.</w:t>
            </w:r>
            <w:r>
              <w:rPr>
                <w:vertAlign w:val="superscript"/>
              </w:rPr>
              <w:t>20 </w:t>
            </w:r>
            <w:r>
              <w:t xml:space="preserve">Ja ir pārkāptas šajos noteikumos minētās komercdarbības atbalsta kontroles normas, tai skaitā nosacījumi, kas izriet no Komisijas regulas Nr. 1407/2013, Komisijas regulas Nr. 717/2014 un Komisijas regulas Nr. 1408/2013 prasībām, atbalsta saņēmējam ir pienākums atmaksāt finansējuma saņēmējam visu projekta ietvaros saņemto atbalstu, kas piešķirts saskaņā ar attiecīgo regulu, no līdzekļiem, kas ir brīvi no valsts atbalsta, atbilstoši Komercdarbības atbalsta kontroles likuma IV vai V nodaļas nosacījumiem. Par valsts </w:t>
            </w:r>
            <w:r>
              <w:lastRenderedPageBreak/>
              <w:t>atbalsta piešķiršanas brīdi uzskata šo noteikumu 82., 109.5, 109.24, 119. un 133. punktā minētā līguma spēkā stāšanās datumu. Ja ir pārkāptas šajos noteikumos minētās komercdarbības atbalsta kontroles normas, tai skaitā nosacījumi, kas izriet no Komisijas regulas Nr. 651/2014 prasībām, atbalsta saņēmējam ir pienākums atmaksāt finansējuma saņēmējam visu projekta ietvaros saņemto nelikumīgo atbalstu, kas piešķirts saskaņā ar attiecīgo regulu, no līdzekļiem, kas ir brīvi no valsts atbalsta, atbilstoši Komercdarbības atbalsta kontroles likuma IV vai V nodaļas nosacījumiem."</w:t>
            </w:r>
          </w:p>
          <w:p w:rsidR="00B91B59" w:rsidRDefault="00B91B59"/>
        </w:tc>
      </w:tr>
    </w:tbl>
    <w:p w:rsidR="001A6C3F" w:rsidRDefault="001A6C3F"/>
    <w:sectPr w:rsidR="001A6C3F">
      <w:headerReference w:type="default" r:id="rId7"/>
      <w:footerReference w:type="default" r:id="rId8"/>
      <w:head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C3F" w:rsidRDefault="001A6C3F">
      <w:r>
        <w:separator/>
      </w:r>
    </w:p>
  </w:endnote>
  <w:endnote w:type="continuationSeparator" w:id="0">
    <w:p w:rsidR="001A6C3F" w:rsidRDefault="001A6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B59" w:rsidRDefault="001A6C3F">
    <w:pPr>
      <w:jc w:val="right"/>
    </w:pPr>
    <w:r>
      <w:rPr>
        <w:szCs w:val="24"/>
      </w:rPr>
      <w:fldChar w:fldCharType="begin"/>
    </w:r>
    <w:r>
      <w:rPr>
        <w:szCs w:val="24"/>
      </w:rPr>
      <w:instrText>PAGE</w:instrText>
    </w:r>
    <w:r w:rsidR="00BA0414">
      <w:rPr>
        <w:szCs w:val="24"/>
      </w:rPr>
      <w:fldChar w:fldCharType="separate"/>
    </w:r>
    <w:r w:rsidR="00BA0414">
      <w:rPr>
        <w:noProof/>
        <w:szCs w:val="24"/>
      </w:rPr>
      <w:t>2</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C3F" w:rsidRDefault="001A6C3F">
      <w:r>
        <w:separator/>
      </w:r>
    </w:p>
  </w:footnote>
  <w:footnote w:type="continuationSeparator" w:id="0">
    <w:p w:rsidR="001A6C3F" w:rsidRDefault="001A6C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B59" w:rsidRDefault="001A6C3F">
    <w:pPr>
      <w:pStyle w:val="Header"/>
      <w:contextualSpacing w:val="0"/>
    </w:pPr>
    <w:r>
      <w:t>Izziņa 22-TA-2361</w:t>
    </w:r>
    <w:r>
      <w:br/>
    </w:r>
    <w:r>
      <w:t>Izdrukāts 11.10.2022. 09.45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1B59" w:rsidRDefault="001A6C3F">
    <w:pPr>
      <w:pStyle w:val="Header"/>
      <w:contextualSpacing w:val="0"/>
    </w:pPr>
    <w:r>
      <w:t>Izziņa 22-TA-2361</w:t>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A74F63"/>
    <w:multiLevelType w:val="hybridMultilevel"/>
    <w:tmpl w:val="9E5CDF96"/>
    <w:lvl w:ilvl="0" w:tplc="13027E34">
      <w:start w:val="1"/>
      <w:numFmt w:val="bullet"/>
      <w:lvlText w:val=""/>
      <w:lvlJc w:val="left"/>
      <w:pPr>
        <w:ind w:left="0" w:firstLine="705"/>
      </w:pPr>
      <w:rPr>
        <w:strike w:val="0"/>
        <w:dstrike w:val="0"/>
        <w:u w:val="none"/>
        <w:effect w:val="none"/>
      </w:rPr>
    </w:lvl>
    <w:lvl w:ilvl="1" w:tplc="0FC65B26">
      <w:start w:val="1"/>
      <w:numFmt w:val="bullet"/>
      <w:lvlRestart w:val="0"/>
      <w:lvlText w:val=""/>
      <w:lvlJc w:val="left"/>
      <w:pPr>
        <w:ind w:left="0" w:firstLine="705"/>
      </w:pPr>
      <w:rPr>
        <w:strike w:val="0"/>
        <w:dstrike w:val="0"/>
        <w:u w:val="none"/>
        <w:effect w:val="none"/>
      </w:rPr>
    </w:lvl>
    <w:lvl w:ilvl="2" w:tplc="551812C2">
      <w:numFmt w:val="decimal"/>
      <w:lvlText w:val=""/>
      <w:lvlJc w:val="left"/>
      <w:pPr>
        <w:ind w:left="0" w:firstLine="0"/>
      </w:pPr>
    </w:lvl>
    <w:lvl w:ilvl="3" w:tplc="056A0D40">
      <w:numFmt w:val="decimal"/>
      <w:lvlText w:val=""/>
      <w:lvlJc w:val="left"/>
      <w:pPr>
        <w:ind w:left="0" w:firstLine="0"/>
      </w:pPr>
    </w:lvl>
    <w:lvl w:ilvl="4" w:tplc="A3DA4EA8">
      <w:numFmt w:val="decimal"/>
      <w:lvlText w:val=""/>
      <w:lvlJc w:val="left"/>
      <w:pPr>
        <w:ind w:left="0" w:firstLine="0"/>
      </w:pPr>
    </w:lvl>
    <w:lvl w:ilvl="5" w:tplc="DF38EDB2">
      <w:numFmt w:val="decimal"/>
      <w:lvlText w:val=""/>
      <w:lvlJc w:val="left"/>
      <w:pPr>
        <w:ind w:left="0" w:firstLine="0"/>
      </w:pPr>
    </w:lvl>
    <w:lvl w:ilvl="6" w:tplc="61D24CAC">
      <w:numFmt w:val="decimal"/>
      <w:lvlText w:val=""/>
      <w:lvlJc w:val="left"/>
      <w:pPr>
        <w:ind w:left="0" w:firstLine="0"/>
      </w:pPr>
    </w:lvl>
    <w:lvl w:ilvl="7" w:tplc="F850B3EE">
      <w:numFmt w:val="decimal"/>
      <w:lvlText w:val=""/>
      <w:lvlJc w:val="left"/>
      <w:pPr>
        <w:ind w:left="0" w:firstLine="0"/>
      </w:pPr>
    </w:lvl>
    <w:lvl w:ilvl="8" w:tplc="48426F64">
      <w:numFmt w:val="decimal"/>
      <w:lvlText w:val=""/>
      <w:lvlJc w:val="left"/>
      <w:pPr>
        <w:ind w:left="0" w:firstLine="0"/>
      </w:p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B59"/>
    <w:rsid w:val="001A6C3F"/>
    <w:rsid w:val="00B91B59"/>
    <w:rsid w:val="00BA0414"/>
    <w:rsid w:val="00F66C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E8087"/>
  <w15:docId w15:val="{E0F21F84-1A83-499D-BC0D-534C15F00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333333"/>
        <w:sz w:val="24"/>
        <w:lang w:val="lv-LV" w:eastAsia="lv-LV"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after="280"/>
      <w:contextualSpacing/>
    </w:pPr>
    <w:rPr>
      <w:b/>
      <w:sz w:val="28"/>
    </w:rPr>
  </w:style>
  <w:style w:type="paragraph" w:styleId="Header">
    <w:name w:val="header"/>
    <w:basedOn w:val="Normal"/>
    <w:next w:val="Normal"/>
    <w:pPr>
      <w:spacing w:after="280"/>
      <w:contextualSpacing/>
      <w:jc w:val="right"/>
    </w:pPr>
  </w:style>
  <w:style w:type="paragraph" w:customStyle="1" w:styleId="signeddocumentparagraph">
    <w:name w:val="signed_document_paragraph"/>
    <w:basedOn w:val="Normal"/>
    <w:next w:val="Normal"/>
    <w:pPr>
      <w:contextualSpacing/>
      <w:jc w:val="right"/>
    </w:p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BA0414"/>
    <w:pPr>
      <w:tabs>
        <w:tab w:val="center" w:pos="4153"/>
        <w:tab w:val="right" w:pos="8306"/>
      </w:tabs>
    </w:pPr>
  </w:style>
  <w:style w:type="character" w:customStyle="1" w:styleId="FooterChar">
    <w:name w:val="Footer Char"/>
    <w:basedOn w:val="DefaultParagraphFont"/>
    <w:link w:val="Footer"/>
    <w:uiPriority w:val="99"/>
    <w:rsid w:val="00BA0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499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1231</Words>
  <Characters>703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Izziņa_22-TA-2361.docx</vt:lpstr>
    </vt:vector>
  </TitlesOfParts>
  <Company>LM</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Izziņa_22-TA-2361.docx</dc:title>
  <dc:creator>Olga Iļjina</dc:creator>
  <cp:lastModifiedBy>Olga Iljina</cp:lastModifiedBy>
  <cp:revision>2</cp:revision>
  <dcterms:created xsi:type="dcterms:W3CDTF">2022-10-11T06:58:00Z</dcterms:created>
  <dcterms:modified xsi:type="dcterms:W3CDTF">2022-10-11T06:58:00Z</dcterms:modified>
</cp:coreProperties>
</file>