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koku ciršanas maksimāli pieļaujamo apjomu 2026.–2030.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"Puse Latvijas"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koku ciršanas maksimāli pieļaujamo apjomu 2026.–2030.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“Puse Latvijas” izteiktais iebildums pret Eiropas Savienības nozīmes biotopu ietveršanu pieļaujamā ciršanas apjoma aprēķinā nav ņemts vērā, uzsveram, ka uzturam iepriekš izteikto iebildumu. Uzskatām, ka rīkojuma tekstā nepārprotami jānorāda, ka, veicot koku ciršanu galvenajā cirtē valsts mežos, cirsmas netiek plānotas Eiropas Savienības nozīmes biotopos.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norādām, ka nav izvērtēta kopējā ciršanas apjoma ietekme uz vidi, tāpēc (arī ievērojot kopējā apjoma samazinājumu, salīdzinājumā ar 2021.–2025. gada periodu) rīkojumā ietverto aprēķinu sasniegšana var ievērojami vairot Latvijas mežu fragmentāciju un būtiski aizkavēt sasniegt Eiropas Biodaudzveidības stratēģijā 2030 gadam noteiktos mērķus: 30% aizsargātas sauszemes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Nicmanis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04.10.2024. 18.59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04.10.2024. 18.59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Atzinumi_24-TA-1490.docx</dc:title>
</cp:coreProperties>
</file>

<file path=docProps/custom.xml><?xml version="1.0" encoding="utf-8"?>
<Properties xmlns="http://schemas.openxmlformats.org/officeDocument/2006/custom-properties" xmlns:vt="http://schemas.openxmlformats.org/officeDocument/2006/docPropsVTypes"/>
</file>