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Vardarbības pret sievieti un vardarbības ģimenē novēršanas un apkarošanas plāns 2024.-2029.gadam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informatīvos pasākumus, kas ir vērsti uz bērniem un jauniešiem, aicinām kritiski izvērtēt izvelētos komunikācijas ceļus un apsvērt iespējas informēšanas pasākumus veikt arī citos veidos, kas spētu efektīvi sasniegt jauniešu auditoriju (piem., informācija sociālajos tīklos vai tmldz.).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Laveniece-Straupmane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19.09.2024. 21.00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19.09.2024. 21.00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Atzinumi_24-TA-1560.docx</dc:title>
</cp:coreProperties>
</file>

<file path=docProps/custom.xml><?xml version="1.0" encoding="utf-8"?>
<Properties xmlns="http://schemas.openxmlformats.org/officeDocument/2006/custom-properties" xmlns:vt="http://schemas.openxmlformats.org/officeDocument/2006/docPropsVTypes"/>
</file>