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iesniegumā plānotie infrastruktūras attīstības darbi ir pamatoti, ja tie nepieciešami, lai īstenotu organizācijas darbības stratēģijā plānotos kultūras pakalpojumus un veicinātu līdztiesību kultūras norišu vides piekļūstamībā.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iesniegumā plānotie infrastruktūras attīstības darbi ir pamatoti, ja tie ir nepieciešami, lai īstenotu organizācijas darbības stratēģijā plānotos kultūras pakalpojumus un nodrošinātu līdztiesību kultūras norišu vides piekļūstamībā. Lai pilnīgāk pamatotu infrastruktūras attīstības darbu nepieciešamību, ieteicams papildināt anotāciju ar skaidrojumu par projekta vērtēšanas metodiku, norādot, kā šie darbi veicinās kultūras pakalpojumu kvalitāti un pieejamību dažādām sabiedrības grupām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01.10.2024.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01.10.2024.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Atzinumi_24-TA-1502.docx</dc:title>
</cp:coreProperties>
</file>

<file path=docProps/custom.xml><?xml version="1.0" encoding="utf-8"?>
<Properties xmlns="http://schemas.openxmlformats.org/officeDocument/2006/custom-properties" xmlns:vt="http://schemas.openxmlformats.org/officeDocument/2006/docPropsVTypes"/>
</file>