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 marta noteikumos Nr. 116 "Kārtība, kādā izmeklē un uzskaita nelaimes gadījumus darbā, kas notikuši ar Iekšlietu ministrijas sistēmas iestāžu un Ieslodzījuma vietu pārvaldes amatpersonām ar speciālajām dienesta pakāpēm"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2016.gada 1.marta noteikumu Nr. 116 "Kārtība, kādā izmeklē un uzskaita nelaimes gadījumus darbā, kas notikuši ar Iekšlietu ministrijas sistēmas iestāžu un Ieslodzījuma vietu pārvaldes amatpersonām ar speciālajām dienesta pakāpēm" (turpmāk – Noteikumi) 27.6.apakšpunktā ir noteikts, ka aktā par nelaimes gadījumu jāatzīmē, ja tas noticis, veicot sociālās uzvedības korekcijas pasākumus soda izciešanas vietās, apmeklējot notiesātos, organizējot sabiedrisko darbu vai uzraugot nosacīti atbrīvotās un probācijas personas. Noteikumu projekta anotācijā norādīts, ka šīs funkcijas ir citām iestādēm, tāpēc 27.6.apakšpunktu paredzēts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sociālās uzvedības korekcijas pasākumus īsteno ne tikai Valsts probācijas dienests, bet arī Ieslodzījuma vietu pārvaldes amatpersonas, tāpēc šī daļa principā būtu saglabājama. Tomēr tā kā Noteikumu 27.5.apakšpunkts tomēr aptver arī 27.6.apakšpunktā minēto, piekrītam 27.6.apakšpunkta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precizēt atsauci uz normatīvo regulējumu un norādīt Valsts probācijas dienesta likumu, jo 27.6.apakšpunkts attiecas uz vairākām Valsts probācijas dienesta funkcijām, ne tikai uz sabiedriskā darba organizēšanu (atsauce anotācijā ir uz Ministru kabineta noteikumiem, kas attiecas uz sabiedriskā darba izpildes organizēšanu).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funkcijas saskaņā ar Valsts probācijas dienesta likumu ir Valsts probācijas dienesta kompetencē, uz kura nodarbinātajiem Noteikumu par nelaimes gadījumu izmeklēšanu Nr. 116 prasības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Ielīte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ministrija pēc akta vai atzinuma saņemšanas konstatē, ka nelaimes gadījums izmeklēts un attiecīgie dokumenti noformēti, neievērojot šo noteikumu prasības, vai dokumentos ir atklātas neprecizitātes, ministrija ir tiesīga nereģistrēt nelaimes gadījumu. Šādā gadījumā aktu vai atzinumu triju darbdienu laikā nosūta atpakaļ iestādei vai pārvaldei, norādot neprecizitātes un pieprasot 10 darbdienu laikā atkārtoti izmeklēt nelaimes gadījumu, vai norāda, ka notikušais gadījums neatbilst šo noteikumu </w:t>
            </w:r>
            <w:r w:rsidR="00000000" w:rsidRPr="00000000" w:rsidDel="00000000">
              <w:rPr>
                <w:rtl w:val="0"/>
              </w:rPr>
              <w:t xml:space="preserve">3.</w:t>
            </w:r>
            <w:r w:rsidR="00000000" w:rsidRPr="00000000" w:rsidDel="00000000">
              <w:rPr>
                <w:rtl w:val="0"/>
              </w:rPr>
              <w:t xml:space="preserve"> punktam, un pieņem lēmumu par akta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kā Noteikumu 30. punktā paredzētā uzdevuma veicēja vērš uzmanību, ka minētā uzdevuma izpildei, kas iekļauj ievērojama dokumentu apjoma noformējuma pareizības pārbaudi, dokumentu atbilstību noteikumu prasībām, neprecizitāšu atklāšanai dokumentos, kā arī dokumentu atgriešanai iestādei, kas tos sagatavojusi, šobrīd ir paredzētas trīs darbdienas. Mūsu ieskatā tas ir nesamērīgi īss termiņš kvalitatīvai dokumentu pārbaudei. Ievērojot minēto, aicinām palielināt ministrijai paredzētā uzdevuma par akta vai atzinuma nosūtīšanu atpakaļ iestādei izpildes termiņu no trīs uz vismaz piecām darbdienām.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Ministrijas lēmumu atcelt aktu, augstākās iestādes lēmumu atstāt negrozītu komisijas noformēto aktu vai atzinumu vai pēc atkārtotas izmeklēšanas noformēto aktu vai atzinumu cietusī amatpersona vai persona, kuras tiesības skar noformētais akts vai atzinums, var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projektā paredzēt noteikumu 35. punkta precizēšanu atbilstoši Administratīvā procesa likumā (APL) noteiktajam regulējumam, proti, tiesisko regulējumu par augstākas iestādes kompetenci izteikt ar pietiekamu vispārinājuma pakāpi, nenorādot ministriju un neuzskaitot lēmumu veidus. Ministru kabineta noteikumi nevar aprobežot APL esošo regulējumu, kas paredz jebkura augstākas iestādes lēmuma pārsūdzēšanas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28.04.2026. 21.50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24-TA-2272</w:t>
    </w:r>
    <w:r>
      <w:br/>
    </w:r>
    <w:r w:rsidR="00000000" w:rsidRPr="00000000" w:rsidDel="00000000">
      <w:rPr>
        <w:rtl w:val="0"/>
      </w:rPr>
      <w:t xml:space="preserve">Izdrukāts 28.04.2026. 21.50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Atzinumi_24-TA-2272.docx</dc:title>
</cp:coreProperties>
</file>

<file path=docProps/custom.xml><?xml version="1.0" encoding="utf-8"?>
<Properties xmlns="http://schemas.openxmlformats.org/officeDocument/2006/custom-properties" xmlns:vt="http://schemas.openxmlformats.org/officeDocument/2006/docPropsVTypes"/>
</file>