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ievešanai (importēšanai) Latvijā aizliegtiem lauksaimniecības un lopbarības produktiem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anotāciju ar informāciju, ka noteikumi zaudē spēku Lauksaimniecības un lauku attīstības likuma pārejas noteikumu 35. punktā minētajā termiņā - 2025.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 skaidrībai, t.i., lai sabiedrībai būtu vieglāk noskaidrot noteikumu projekta tvērumu, ierosinām projekta anotācijā norādīt ne tikai preču kombinētās nomenklatūras kodus, bet arī preču vai preču grupu nosaukumus (piemēram, regulas Nr. 2658/87 I pielikuma otrās daļas II sadaļas 10. nodaļā minētās preces - graudaugu produkti).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27.02.2024.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27.02.2024.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Atzinumi_24-TA-424.docx</dc:title>
</cp:coreProperties>
</file>

<file path=docProps/custom.xml><?xml version="1.0" encoding="utf-8"?>
<Properties xmlns="http://schemas.openxmlformats.org/officeDocument/2006/custom-properties" xmlns:vt="http://schemas.openxmlformats.org/officeDocument/2006/docPropsVTypes"/>
</file>