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virzīt uz Modernizācijas fondu, kas ir jauns finansēšanas mehānisms ar mērķi atbalstīt oglekļa mazietilpīgus ieguldījumus, atbalstot virzību uz klimatneitralitāti, tās pašvaldības, kuras nekvalificējas atbalstam saskaņā ar šo noteikumu 5.punktu, kas nosaka, ka projekta īstenošanas vieta ir Kurzemes, Latgales, Vidzemes un Zemgales statistiskais reģions saskaņā ar 2022. gada 25. novembrī spēkā esošo Statistiski teritoriālo vienību nomenklatūras 3. līmeņa (NUTS 3. līmenis) klasifikācija, kas tādējādi izslēdz Ogres, Tukuma un Limbažu novada pašvaldības, kuras neietilpst Rīgas plānošanas reģionā, bet gan Vidzemes un Kurzemes plānošanas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par papildinošo saimniecisko darbību uzskata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minētās mērķa grupas mobilitātes nodrošināšanu pasākumos, kas ir tieši saistīti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pašvaldību autonomo funkciju īstenošanu un no tām izrietošo pārvaldes uzdevumu izpildi, piemēram: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virzīt uz Modernizācijas fonda finansējumu pašvaldību un to kapitālsabiedrības, pasakot ka atbalsta mērķis ir daudz plašāks un ietvertu visas  pašvaldību autonomās funkcijas, kas ir gādāt par pašvaldības administratīvās teritorijas labiekārtošanu un sanitāro tīrību, gādāt par pašvaldības īpašumā esošo ceļu būvniecību, uzturēšanu un pārvaldību, piedalīties sabiedriskās kārtības un drošības nodrošināšanā, nodrošināt ar būvniecības procesu saistīta administratīvā procesa tiesiskumu, kur šo funkciju veikšanai ir nepieciešami bezemisiju transportlīdzekļi.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programmas iznākuma rādītāju – bezemisiju transportlīdzekļi pašvaldību funkciju īstenošanai un pakalpojumu nodrošināšanai – vismaz 38 bezemisiju transportlīdzekļi, tai skaitā par Taisnīgas pārkārtošanās fonda finansējumu, kas pieejams līdz 2025. gada 31. decembrim – vismaz 35 bezemisiju transportlīdzekļi;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uz Modernizācijas finansējumu un citām VARAM atbalsta aktivitātēm virzīt jautājumu ne tikai par bezemisijas transporta līdzekļu iegādi, bet arī paredzēt hibrīda transporta līdzekļu iegādes iespējas un paplašināt atbalstu uz L kategorijā ietilpstošiem bezceļu elektroskrejriteņiem, kurus varētu izmantot sabiedriskās kārtības un drošības nodrošināšanai pilsētā, kā arī dabas kapitāla ilgtspējīgai pārvaldībai un apsaimniekošanai.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08.12.2023.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08.12.2023.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Atzinumi_23-TA-1763.docx</dc:title>
</cp:coreProperties>
</file>

<file path=docProps/custom.xml><?xml version="1.0" encoding="utf-8"?>
<Properties xmlns="http://schemas.openxmlformats.org/officeDocument/2006/custom-properties" xmlns:vt="http://schemas.openxmlformats.org/officeDocument/2006/docPropsVTypes"/>
</file>