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Saeimas Aizsardzības, iekšlietu un korupcijas novēršanas komisijai par problemātiku Nacionālo bruņoto spēku ugunsdzēsības un glābšanas transportlīdzekļu reģistrācijā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Satiksmes ministrija arī informē, ka 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Iekšlietu ministrija, savukārt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Papildus Iekšlietu ministrija vērš uzmanību, ka izņēmuma ietveršana valsts standartā, kurš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ministrijas un Iekšlietu ministrijas ieskatā šobrīd rosināt grozījumus valsts standartā nebūtu lietderīgi.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projektu papildināt ar tekstu: "Aizsardzības ministrija ir informējusi Iekšlietu ministriju (Aizsardzības ministrijas 12.12.2023. vēstule Nr.MV-N/2699) par to, ka "</w:t>
            </w:r>
            <w:r w:rsidR="00000000" w:rsidRPr="00000000" w:rsidDel="00000000">
              <w:rPr>
                <w:i w:val="1"/>
                <w:rtl w:val="0"/>
              </w:rPr>
              <w:t xml:space="preserve">neplāno reģistrēt VAS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kurš savas funkcijas pildīs NBS militārajā objektā.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26.01.2024.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26.01.2024.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Atzinumi_23-TA-3018.docx</dc:title>
</cp:coreProperties>
</file>

<file path=docProps/custom.xml><?xml version="1.0" encoding="utf-8"?>
<Properties xmlns="http://schemas.openxmlformats.org/officeDocument/2006/custom-properties" xmlns:vt="http://schemas.openxmlformats.org/officeDocument/2006/docPropsVTypes"/>
</file>