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Sadarbības iestāde veic pārbaudi projektu īstenošanas vietā, ja par pārbaudes konkrētiem aspektiem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2020-2027.gada plānošanas periodā horizontālo principu ievērošana un specifisko un vispārīgo darbību īstenošana ir obligāta visiem projektiem ar tiešu un netiešu ietekmi, kā arī projektiem bez ietekmes uz HP VINPI ir jāīsteno vispārīgās darbības. Līdz ar to ir svarīgi noteikt un akcentēt MK noteikumu līmenī, ka šo principu un darbību īstenošanai tiks pievērsta uzmanība arī pārbaužu veikšanā projektu īstenošanas vietās.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iestāde veic pārbaudi projektu īstenošanas vietā, ja par pārbaudes konkrētiem aspektiem, </w:t>
            </w:r>
            <w:r w:rsidR="00000000" w:rsidRPr="00000000" w:rsidDel="00000000">
              <w:rPr>
                <w:u w:val="single"/>
                <w:rtl w:val="0"/>
              </w:rPr>
              <w:t xml:space="preserve">tai skaitā horizontālo principu ievērošanu</w:t>
            </w:r>
            <w:r w:rsidR="00000000" w:rsidRPr="00000000" w:rsidDel="00000000">
              <w:rPr>
                <w:rtl w:val="0"/>
              </w:rPr>
              <w:t xml:space="preserve">, nav iespējams pārliecināties citās pārbaudēs (maksājuma pieprasījuma pārbaudē, iepirkuma pirmspārbaudē vai iepirkuma pārbaudē).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pārbaude pasākumu laikā (piemēram, mācībās, nodarbinātības veicināšanas pasākumos, veselības veicināšanas pasākumos), lai pārliecinātos, vai dalībnieku sarakstā iekļautās personas atrodas pasākuma norises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pasākuma vietai ir jānodrošina piekļūstamība personām ar invaliditāti </w:t>
            </w:r>
            <w:r w:rsidR="00000000" w:rsidRPr="00000000" w:rsidDel="00000000">
              <w:rPr>
                <w:u w:val="single"/>
                <w:rtl w:val="0"/>
              </w:rPr>
              <w:t xml:space="preserve">visos gadījumos, </w:t>
            </w:r>
            <w:r w:rsidR="00000000" w:rsidRPr="00000000" w:rsidDel="00000000">
              <w:rPr>
                <w:rtl w:val="0"/>
              </w:rPr>
              <w:t xml:space="preserve">izņemot gadījumus, kad pasākuma dalībniekiem tiek izvirzītas speciālas fiziskās sagatavotības prasības (piemēram, ugunsdzēsēju praktiskās apmācības  šķēršļu pārvarēšanai). Papildus skaidrojam, ka pasākuma vietas un formāta piekļūstamības nodrošināšana nav tikai noslēgtā līguma/vienošanās par projekta īstenošanu priekšmets, kur projekta īstenotājs var izvēlēties - nodrošināt vai nenodrošināt piekļūstamību. Šāda prasība ir noteikta Vispārējās Regulas [1] 9.panta  2. un 3. punktā un 28. pantā un attiecas uz katru projekta īstenotāju, neatkarīgi no tā vai projekta īstenotājs to ir paredzējis projektā vai nē. Lai sekmētu sociālo iekļaušanu un apkarotu nabadzību, jo īpaši atstumtu kopienu vidū, ir jāuzlabo, tostarp ar infrastruktūras palīdzību, piekļuve sociālajiem, izglītības, kultūras un atpūtas pakalpojumiem, tostarp sporta jomā, ņemot vērā personu ar invaliditāti, bērnu un vecāka gadagājuma cilvēku īpašās vajadzības.Turklāt būtu jāatbalsta tikai tādi projekti, kuri veicina nediskrimināciju un vienlīdzīgas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32.1. apakšpunktu, teikuma beigās papildinot ar vārdiem "un/vai pasākuma norises vieta ir piekļūstama personām ar invaliditāti".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(https://eur-lex.europa.eu/legal-content/LV/TXT/PDF/?uri=CELEX:32021R1060&amp;from=LV%20)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vienlīdzīgu un konsekventu HP VINPI atspoguļošanu tiesību aktos, lūdzam papildināt anotācijas 8.1.8., 8.1.9., 8.1.10., 8.1.12., un 8.2.sadaļas ar informāciju par noteikumu projekta ietekmi uz horizontālo principu “Vienlīdzība, iekļaušana, nediskriminācija un pamattiesību ievērošana” (turpmāk - HP) atbilstoši Labklājības ministrijas un Tieslietu ministrijas izstrādātajām vadlīnijām horizontālā principa “Vienlīdzība, iekļaušana, nediskriminācija un pamattiesību ievērošana” īstenošanai un uzraudzībai (turpmāk - vadlīnijas) (skat. vadlīniju 4.4. sadaļu "MK noteikumu anotācijas aizpildīšana":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projektos HP VINPI specifiskās un vispārīgās darbībām ne visos gadījumos var pārbaudīt pret nacionālo normatīvo regulējumu kā, piemēram, pandusa izveidi var pārbaudīt pret Latvijas būvnormatīvu LBN 200-21. Īstenojot projektus, vienlīdzīgu iespēju un nediskriminācijas principi horizontāli ir jāintegrē ikvienā projekta darbībā, ciktāl tas nav pretrunā ar projekta ietekmi uz HP VINPI, projekta mērķi un atbalstāmajām darbībām. Daudzas HP VINPI darbības var pārbaudīt tikai pēc fakta, piemēram, pasākuma norises vietas piekļūstamību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Izziņas 18.punktā pie skaidrojuma ir minēts, ka "gan sadarbības iestādes, gan vadošā iestādes, gan revīzijas iestādes pārbaužu apjomā ir ietverts nosacījums, ka tiek pārbaudīta arī horizontālo principu ievērošana, ja tas ir attiecināms. Minētās pārbaudes ES fondu 2021.-2027.gada plānošanas periodā tiks vēl vairāk akcentētas vadošās iestādes pārbaužu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8.2. punktu ar šo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