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Pozīcijai 4.2. cena bez PVN nesakrīt ar cenu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noteikt reālu noteikumu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anotācijas 3.sadaļā ir sniegta vispārīga informācija par plānoto ieņēmumu palielinājumu un ir norādīts, ka Dienests ir pārskatījis visu maksas pakalpojumu izcenojumus. Ņemot vērā, ka ieņēmumu palielinājums tiek plānots ievērojamā apmērā (3,8 milj. euro), lūdzam iekļaut anotācijā plašāku kopsavilkumu par plānotajiem maksas pakalpojumu izcenojumu palielinājumiem, paskaidrojot galvenās pozīcijas, kas veido papildu ieņēmumus un attiecīgi arī plānotos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30.12.2022.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30.12.2022.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Atzinumi_22-TA-2741.docx</dc:title>
</cp:coreProperties>
</file>

<file path=docProps/custom.xml><?xml version="1.0" encoding="utf-8"?>
<Properties xmlns="http://schemas.openxmlformats.org/officeDocument/2006/custom-properties" xmlns:vt="http://schemas.openxmlformats.org/officeDocument/2006/docPropsVTypes"/>
</file>