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Ministru kabineta noteikumu projektā iekļaut nosacījumu, ka pasākums ir ne tikai transporta sektora negatīvās ietekmes uz vidi mazināšanai vai siltumnīcefekta gāzu emisiju samazināšanai, bet arī energoefektivitātes uzlabošanai, kas ir svarīgi, lai minēto pasākumu varētu ieskaitīt Latvijai saistošā mērķa - kumulatīvie energoietaupījumi,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veicināt pārvietošanās paradumu maiņu iedzīvotāju vidū, veidojot konkurētspējīgu sabiedriskā transporta piedāvājumu attiecībā pret privāto transportu, tostarp sasaistē ar mikromobilitāti, tādējādi sekmējot transporta negatīvās ietekmes uz vidi samazinājumu </w:t>
            </w:r>
            <w:r w:rsidR="00000000" w:rsidRPr="00000000" w:rsidDel="00000000">
              <w:rPr>
                <w:b w:val="1"/>
                <w:rtl w:val="0"/>
              </w:rPr>
              <w:t xml:space="preserve">un transporta nozares energoefektivitātes paaugstināšanu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14.10.2024.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14.10.2024.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Atzinumi_24-TA-1234.docx</dc:title>
</cp:coreProperties>
</file>

<file path=docProps/custom.xml><?xml version="1.0" encoding="utf-8"?>
<Properties xmlns="http://schemas.openxmlformats.org/officeDocument/2006/custom-properties" xmlns:vt="http://schemas.openxmlformats.org/officeDocument/2006/docPropsVTypes"/>
</file>