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ārstniecības personām izvirzāmos kritērijus jaunizveidotās papildspecialitātes vai apakšspecialitātes iegūšanai, neapgūstot izglītības programmu jaunizveidotajā papildspecialitātē vai apakšspecialitātē, un laikposmu, kurā ārstniecības personām, kas atbilst noteiktajiem kritērijiem, ir tiesības pretendēt uz ārstniecības personas sertifikātu minētajā papildspecialitātē vai apakšspecialitātē.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likumā 27.p. noteiktas Izglītojamo uzņemšanas prasības t.sk. 8. līmeņa profesionālo kvalifikāciju dodošajās programmās. 25. pants nosaka "Profesionālās augstākās izglītības programmas izstrādā un apstiprina Augstskolu likumā noteiktajā kārtībā". Izglītības likums nosaka: 2) augstākā izglītība — izglītības pakāpe, kurā iegūst akadēmisko kvalifikāciju atbilstoši piektajam, sestajam, septītajam un astotajam Latvijas kvalifikāciju ietvarstruktūras līmenim. 7</w:t>
            </w:r>
            <w:r w:rsidR="00000000" w:rsidRPr="00000000" w:rsidDel="00000000">
              <w:rPr>
                <w:vertAlign w:val="superscript"/>
                <w:rtl w:val="0"/>
              </w:rPr>
              <w:t xml:space="preserve">2</w:t>
            </w:r>
            <w:r w:rsidR="00000000" w:rsidRPr="00000000" w:rsidDel="00000000">
              <w:rPr>
                <w:rtl w:val="0"/>
              </w:rPr>
              <w:t xml:space="preserve">) izglītības iestādes akreditācija — regulāra izglītības iestādes darbības kvalitātes izvērtēšana un tiesību piešķiršana izglītības iestādei izsniegt valsts atzītu izglītības dokumentu par konkrētai izglītības programmai atbilstošas izglītības ieguvi; 11. pants(2) Valsts atzītu izglītības dokumentu izsniedz izglītojamam, kas akreditētā izglītības iestādē ir ieguvis licencētai izglītības programmai atbilstošu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programma 8. līmeņa apgūšanai ir jālicencē un jāakreditē Augstskolu likuma kārtībā. Un tikai programmas izpildes rezultātā var izsniegt valsts atzītu izglītības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neapgūstot izglītības programmu LKI 8. līmenī, nevar atsaukties uz PIL 27.p. par uzņemšanas prasībām, un nevar izsniegt valsts atzītu izglītības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iebilst pret šo apstākli, kā arī vērš uzmanību uz personas tiesību pārkāpšanu, piemēram, liedzot strādāt papildspecialitātē vai apakšspecialitātē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Studējošie, kuri apgūst otrā cikla profesionālās augstākās medicīniskās izglītības programmas, profesionālo darbību sestajā studiju gadā praktisko apmācību ietvaros veic tāda ārsta tiešā uzraudzībā, kurš ir sertificēts. Profesionālās darbības ietvaros studējošais asistē un sniedz atbalstu ārstam slimnieku aprūpē, praktisko manipulāciju veikšanā, medicīnas dokumentācijas aizpildīšanā un citās darbībās, kuras studējošais ārsta tiešās uzraudzībā var nodrošināt atbilstošā kvalitātē un kuras atbilst ārsta kompetencei, izņemot nāves iestāšanās konstatēšana, primārās diagnozes noteikšana un racionāla un mērķtiecīga izmeklēšanas plāna sastādīšana, diferenciāldiagnozes analīzes veikšana, medikamentozās terapijas blakņu izvērtēšana un darbības to novēršanai  sirds netiešās masāžas veikšana, neatliekamo reanimācijas pasākumu nodrošināšana vitālo funkciju nodrošināšanai dzīvībai bīstamās situācijās, cilvēka nāves objektīvās pazīmes, pacienta ārstniecības procesa plānošana individuāli un multiprofesionālas speciālistu komandas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 "izglītības programmas", jo saskaņā ar Augstskolu likumu ir "studiju programmas" un Profesionālās izglītības likumu "profesionālās izglītības programmas, "profesionālās tālākizglītības programmas"un "profesionālās pilnveides programmas". Nepieciešamības gadījumā, papildināt 2.punktu ar terminu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Jaunzeme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Studējošie, kuri apgūst medicīniskās izglītības programmas ārpus mācību, studiju programmas apguves, profesionālo darbību veic kā medicīnas asistents attiecīgās profesijas ārstniecības personas tiešā uzraudzībā, kura ir sertificēta (izņemot māsas (vispārējās aprūpes māsas)). Māsas (vispārējās aprūpes māsas) profesijā medicīnas asistents profesionālo darbību veic māsas (vispārējās aprūpes māsas),  kura ir reģistrēta ārstniecības personu reģistrā tiešā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profesionālās tālākizglītības programmas apakšspecialitātes un papildspecialitātes apguvei ir rezidentūras studiju programmas daļa. Lūdzu konceptuāli precizēt šādu programmu īstenošanas sasaisti ar augstskolām, kas īsteno studiju programmas.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Jaunzeme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Rezidentūra bērnu nefrologa apakšspecialitātē tiek īstenota profesionālās tālākizglītības programmā vismaz 3000 akadēmisko stundu apjomā no tām 1200 ir kontaktstundas (40%), 1800 akadēmiskās stundas - patstāvīgais darbs. Rezidentūras laikā tiek iegūtas teorētiskās zināšanas un praktiskās iemaņas nieru un urīnizvadceļu embrioloģijā, nieru anatomijā, histopatoloģijā un fizioloģijā un to izmaiņās normālos un patoloģiskos apstākļos, nieru un urīnizvadceļu iedzimto un iegūto slimību patoloģijā un patofizioloģijā augošam bērnam, augļa, zīdaiņa un bērna iedzimto un iegūto nieru slimību etioloģijā, simptomātikā, diagnostikā un diferenciāldiagnostikā un to izmeklēšanā ar attēlu diagnostiku, funkciju testiem un histopatoloģiju, nieru biopsijā, nieru ultrasonoskopijā, klīrensu tehnikās glomeruļu filtrācijas ātruma un nieru kanālīšu segmentu funkciju mērījumiem, peritoneālās dialīzes, hemodialīzes un ar to saistīto tehnoloģiju lietošanā kopā ar peritoneālās un vaskulārās pieejas problēmām akūtos un hroniskos gadījumos, diētas un medikamentu lietošanā nieru slimību ārstēšanā, urīnizvadceļu ķirurģiskās ārstēšanas indikācijās un lietošanā, urīnpūšļa un urinācijas anomālijās, cistometriskajā izmeklēšanā un medikamentu vai ķirurģiskās ārstēšanas iespējās, bērnu, kas sirgst ar hroniskām nieru slimībām, psihosociālajās problēmās un to profilaksē, izpausmēs un novēršanā, biežāk sastopamajās ētikas problēmās bērnu neiroloģijas praksē un pētījumu darbā, pieaugušo neiroloģijā.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studiju apjomu kredītpunktos.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Jaunzeme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Šo noteikumu </w:t>
            </w:r>
            <w:r w:rsidR="00000000" w:rsidRPr="00000000" w:rsidDel="00000000">
              <w:rPr>
                <w:rtl w:val="0"/>
              </w:rPr>
              <w:t xml:space="preserve">151. </w:t>
            </w:r>
            <w:r w:rsidR="00000000" w:rsidRPr="00000000" w:rsidDel="00000000">
              <w:rPr>
                <w:rtl w:val="0"/>
              </w:rPr>
              <w:t xml:space="preserve"> </w:t>
            </w:r>
            <w:r w:rsidR="00000000" w:rsidRPr="00000000" w:rsidDel="00000000">
              <w:rPr>
                <w:rtl w:val="0"/>
              </w:rPr>
              <w:t xml:space="preserve">160.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w:t>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204. </w:t>
            </w:r>
            <w:r w:rsidR="00000000" w:rsidRPr="00000000" w:rsidDel="00000000">
              <w:rPr>
                <w:rtl w:val="0"/>
              </w:rPr>
              <w:t xml:space="preserve">,</w:t>
            </w:r>
            <w:r w:rsidR="00000000" w:rsidRPr="00000000" w:rsidDel="00000000">
              <w:rPr>
                <w:shd w:fill="#ffffff" w:val="clear"/>
                <w:rtl w:val="0"/>
              </w:rPr>
              <w:t xml:space="preserve"> </w:t>
            </w:r>
            <w:r w:rsidR="00000000" w:rsidRPr="00000000" w:rsidDel="00000000">
              <w:rPr>
                <w:rtl w:val="0"/>
              </w:rPr>
              <w:t xml:space="preserve">209. </w:t>
            </w:r>
            <w:r w:rsidR="00000000" w:rsidRPr="00000000" w:rsidDel="00000000">
              <w:rPr>
                <w:rtl w:val="0"/>
              </w:rPr>
              <w:t xml:space="preserve"> </w:t>
            </w:r>
            <w:r w:rsidR="00000000" w:rsidRPr="00000000" w:rsidDel="00000000">
              <w:rPr>
                <w:rtl w:val="0"/>
              </w:rPr>
              <w:t xml:space="preserve">259.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264. </w:t>
            </w:r>
            <w:r w:rsidR="00000000" w:rsidRPr="00000000" w:rsidDel="00000000">
              <w:rPr>
                <w:rtl w:val="0"/>
              </w:rPr>
              <w:t xml:space="preserve">,</w:t>
            </w:r>
            <w:r w:rsidR="00000000" w:rsidRPr="00000000" w:rsidDel="00000000">
              <w:rPr>
                <w:shd w:fill="#ffffff" w:val="clea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354.</w:t>
            </w:r>
            <w:r w:rsidR="00000000" w:rsidRPr="00000000" w:rsidDel="00000000">
              <w:rPr>
                <w:rtl w:val="0"/>
              </w:rPr>
              <w:t xml:space="preserve"> </w:t>
            </w:r>
            <w:r w:rsidR="00000000" w:rsidRPr="00000000" w:rsidDel="00000000">
              <w:rPr>
                <w:rtl w:val="0"/>
              </w:rPr>
              <w:t xml:space="preserve">375.</w:t>
            </w:r>
            <w:r w:rsidR="00000000" w:rsidRPr="00000000" w:rsidDel="00000000">
              <w:rPr>
                <w:rtl w:val="0"/>
              </w:rPr>
              <w:t xml:space="preserve"> </w:t>
            </w:r>
            <w:r w:rsidR="00000000" w:rsidRPr="00000000" w:rsidDel="00000000">
              <w:rPr>
                <w:rtl w:val="0"/>
              </w:rPr>
              <w:t xml:space="preserve">386.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392.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403.</w:t>
            </w:r>
            <w:r w:rsidR="00000000" w:rsidRPr="00000000" w:rsidDel="00000000">
              <w:rPr>
                <w:rtl w:val="0"/>
              </w:rPr>
              <w:t xml:space="preserve">, </w:t>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415.</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427.</w:t>
            </w:r>
            <w:r w:rsidR="00000000" w:rsidRPr="00000000" w:rsidDel="00000000">
              <w:rPr>
                <w:rtl w:val="0"/>
              </w:rPr>
              <w:t xml:space="preserve">, </w:t>
            </w:r>
            <w:r w:rsidR="00000000" w:rsidRPr="00000000" w:rsidDel="00000000">
              <w:rPr>
                <w:rtl w:val="0"/>
              </w:rPr>
              <w:t xml:space="preserve">433. </w:t>
            </w:r>
            <w:r w:rsidR="00000000" w:rsidRPr="00000000" w:rsidDel="00000000">
              <w:rPr>
                <w:rtl w:val="0"/>
              </w:rPr>
              <w:t xml:space="preserve"> </w:t>
            </w:r>
            <w:r w:rsidR="00000000" w:rsidRPr="00000000" w:rsidDel="00000000">
              <w:rPr>
                <w:rtl w:val="0"/>
              </w:rPr>
              <w:t xml:space="preserve">439.</w:t>
            </w:r>
            <w:r w:rsidR="00000000" w:rsidRPr="00000000" w:rsidDel="00000000">
              <w:rPr>
                <w:rtl w:val="0"/>
              </w:rPr>
              <w:t xml:space="preserve">445.</w:t>
            </w:r>
            <w:r w:rsidR="00000000" w:rsidRPr="00000000" w:rsidDel="00000000">
              <w:rPr>
                <w:rtl w:val="0"/>
              </w:rPr>
              <w:t xml:space="preserve">451.</w:t>
            </w:r>
            <w:r w:rsidR="00000000" w:rsidRPr="00000000" w:rsidDel="00000000">
              <w:rPr>
                <w:rtl w:val="0"/>
              </w:rPr>
              <w:t xml:space="preserve">457.</w:t>
            </w:r>
            <w:r w:rsidR="00000000" w:rsidRPr="00000000" w:rsidDel="00000000">
              <w:rPr>
                <w:rtl w:val="0"/>
              </w:rPr>
              <w:t xml:space="preserve">463.</w:t>
            </w:r>
            <w:r w:rsidR="00000000" w:rsidRPr="00000000" w:rsidDel="00000000">
              <w:rPr>
                <w:rtl w:val="0"/>
              </w:rPr>
              <w:t xml:space="preserve"> </w:t>
            </w:r>
            <w:r w:rsidR="00000000" w:rsidRPr="00000000" w:rsidDel="00000000">
              <w:rPr>
                <w:rtl w:val="0"/>
              </w:rPr>
              <w:t xml:space="preserve">469.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480.</w:t>
            </w:r>
            <w:r w:rsidR="00000000" w:rsidRPr="00000000" w:rsidDel="00000000">
              <w:rPr>
                <w:rtl w:val="0"/>
              </w:rPr>
              <w:t xml:space="preserve">481.</w:t>
            </w:r>
            <w:r w:rsidR="00000000" w:rsidRPr="00000000" w:rsidDel="00000000">
              <w:rPr>
                <w:rtl w:val="0"/>
              </w:rPr>
              <w:t xml:space="preserve"> </w:t>
            </w:r>
            <w:r w:rsidR="00000000" w:rsidRPr="00000000" w:rsidDel="00000000">
              <w:rPr>
                <w:rtl w:val="0"/>
              </w:rPr>
              <w:t xml:space="preserve">487. </w:t>
            </w:r>
            <w:r w:rsidR="00000000" w:rsidRPr="00000000" w:rsidDel="00000000">
              <w:rPr>
                <w:rtl w:val="0"/>
              </w:rPr>
              <w:t xml:space="preserve"> </w:t>
            </w:r>
            <w:r w:rsidR="00000000" w:rsidRPr="00000000" w:rsidDel="00000000">
              <w:rPr>
                <w:rtl w:val="0"/>
              </w:rPr>
              <w:t xml:space="preserve">493.</w:t>
            </w:r>
            <w:r w:rsidR="00000000" w:rsidRPr="00000000" w:rsidDel="00000000">
              <w:rPr>
                <w:rtl w:val="0"/>
              </w:rPr>
              <w:t xml:space="preserve">499.</w:t>
            </w:r>
            <w:r w:rsidR="00000000" w:rsidRPr="00000000" w:rsidDel="00000000">
              <w:rPr>
                <w:rtl w:val="0"/>
              </w:rPr>
              <w:t xml:space="preserve">516. </w:t>
            </w:r>
            <w:r w:rsidR="00000000" w:rsidRPr="00000000" w:rsidDel="00000000">
              <w:rPr>
                <w:rtl w:val="0"/>
              </w:rPr>
              <w:t xml:space="preserve">,</w:t>
            </w:r>
            <w:r w:rsidR="00000000" w:rsidRPr="00000000" w:rsidDel="00000000">
              <w:rPr>
                <w:shd w:fill="#ffffff" w:val="clear"/>
                <w:rtl w:val="0"/>
              </w:rPr>
              <w:t xml:space="preserve"> </w:t>
            </w:r>
            <w:r w:rsidR="00000000" w:rsidRPr="00000000" w:rsidDel="00000000">
              <w:rPr>
                <w:rtl w:val="0"/>
              </w:rPr>
              <w:t xml:space="preserve">521.</w:t>
            </w:r>
            <w:r w:rsidR="00000000" w:rsidRPr="00000000" w:rsidDel="00000000">
              <w:rPr>
                <w:rtl w:val="0"/>
              </w:rPr>
              <w:t xml:space="preserve">526.</w:t>
            </w:r>
            <w:r w:rsidR="00000000" w:rsidRPr="00000000" w:rsidDel="00000000">
              <w:rPr>
                <w:rtl w:val="0"/>
              </w:rPr>
              <w:t xml:space="preserve">531. </w:t>
            </w:r>
            <w:r w:rsidR="00000000" w:rsidRPr="00000000" w:rsidDel="00000000">
              <w:rPr>
                <w:rtl w:val="0"/>
              </w:rPr>
              <w:t xml:space="preserve">punkts</w:t>
            </w:r>
            <w:r w:rsidR="00000000" w:rsidRPr="00000000" w:rsidDel="00000000">
              <w:rPr>
                <w:rtl w:val="0"/>
              </w:rPr>
              <w:t xml:space="preserve"> stājas spēkā 2025.gada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ka noteikumu projekta 663.punktā paredzētais minēto punktu stāšanās spēkā laiks ir noteikts saistībā ar plānotajiem grozījumiem likumā "Par reglamentētajām profesijām un profesionālās kvalifikācijas atzīšanu". Lūdzam šajā punktā iekļaut arī noteikumu projekta 8.13. apakšnodaļā minēto profesiju, jo likums "Par reglamentētajām profesijām un profesionālās kvalifikācijas atzīšanu" ir jāgroza arī attiecībā uz profesijas nosaukumu "kosmētiķis"/"kosmetologs"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Šo noteikumu </w:t>
            </w:r>
            <w:r w:rsidR="00000000" w:rsidRPr="00000000" w:rsidDel="00000000">
              <w:rPr>
                <w:rtl w:val="0"/>
              </w:rPr>
              <w:t xml:space="preserve">2.73., </w:t>
            </w:r>
            <w:r w:rsidR="00000000" w:rsidRPr="00000000" w:rsidDel="00000000">
              <w:rPr>
                <w:rtl w:val="0"/>
              </w:rPr>
              <w:t xml:space="preserve">8.2. </w:t>
            </w:r>
            <w:r w:rsidR="00000000" w:rsidRPr="00000000" w:rsidDel="00000000">
              <w:rPr>
                <w:rtl w:val="0"/>
              </w:rPr>
              <w:t xml:space="preserve">un </w:t>
            </w:r>
            <w:r w:rsidR="00000000" w:rsidRPr="00000000" w:rsidDel="00000000">
              <w:rPr>
                <w:rtl w:val="0"/>
              </w:rPr>
              <w:t xml:space="preserve">8.9. </w:t>
            </w:r>
            <w:r w:rsidR="00000000" w:rsidRPr="00000000" w:rsidDel="00000000">
              <w:rPr>
                <w:rtl w:val="0"/>
              </w:rPr>
              <w:t xml:space="preserve">apakšnodaļa</w:t>
            </w:r>
            <w:r w:rsidR="00000000" w:rsidRPr="00000000" w:rsidDel="00000000">
              <w:rPr>
                <w:rtl w:val="0"/>
              </w:rPr>
              <w:t xml:space="preserve"> ir spēkā līdz 2026.gada 31.augustam. Šo noteikumu </w:t>
            </w:r>
            <w:r w:rsidR="00000000" w:rsidRPr="00000000" w:rsidDel="00000000">
              <w:rPr>
                <w:rtl w:val="0"/>
              </w:rPr>
              <w:t xml:space="preserve">2.74. </w:t>
            </w:r>
            <w:r w:rsidR="00000000" w:rsidRPr="00000000" w:rsidDel="00000000">
              <w:rPr>
                <w:rtl w:val="0"/>
              </w:rPr>
              <w:t xml:space="preserve">un </w:t>
            </w:r>
            <w:r w:rsidR="00000000" w:rsidRPr="00000000" w:rsidDel="00000000">
              <w:rPr>
                <w:rtl w:val="0"/>
              </w:rPr>
              <w:t xml:space="preserve">8.13. </w:t>
            </w:r>
            <w:r w:rsidR="00000000" w:rsidRPr="00000000" w:rsidDel="00000000">
              <w:rPr>
                <w:rtl w:val="0"/>
              </w:rPr>
              <w:t xml:space="preserve">apakšnodaļa</w:t>
            </w:r>
            <w:r w:rsidR="00000000" w:rsidRPr="00000000" w:rsidDel="00000000">
              <w:rPr>
                <w:rtl w:val="0"/>
              </w:rPr>
              <w:t xml:space="preserve"> ir spēkā no 2026.gada 1.septembra.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reglamentētajām profesijām un profesionālās kvalifikācijas atzīšanu" 9.panta otrās daļas 14.punktā ir noteikta reglamentētā profesija "kosmētiķis". Profesijas "kosmētiķis" nosaukuma mainīšana uz "kosmetologs" nav atbilstoša minētajā likumā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minēta frāze: "Noteikumu projektā ir noteikts, ka no noteiktā KP apjoma 60% ir praktiskā apmācība (pieņemot, ka 40% ir kontaktstundas). Termins "praktiskā apamācība" ir izvēlēts atbilstoši Direktīvai 2005/36/EK.". No minētā izriet, ka profesionālās tālākizglītības programmas daļas ir "kontaktstundas" un "praktiskā apmācība".  Eiropas Parlamenta un Padomes 2005. gada 7. septembra Direktīvas 2005/36/EK par profesionālo kvalifikāciju atzīšanu (turpmāk – Direktīva 2005/36/EK) 25. panta 2. un 3. punktā ir noteikts, ka specializētā ārsta apmācība ir pilna laika teorētiskā un praktiskā apmācība. Lūdzam to paskaidrot, precizējot, kā aprotams iedalījums : kontaktstundas" un "praktiskā apmācība" un kādēļ ir pamats uzskatīt, ka tas būtu atbilstošs direktīvas 2005/36/EK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2.3.apakšpunktā minēto "Noteikumu projektā ir ietverta profesijas "Kosmetologs", kas pēc būtības ir esošo skaistumkopšanas jomas profesiju - kosmētiķis un skaistumkopšanas speciālists kosmetoloģijā apvienošana", norādām, ka likuma "Par reglamentētajām profesijām un profesionālās kvalifikācijas atzīšanu" 9.panta otrās daļas 14.punktā ir minēta profesija "kosmētiķis" un 24.punktā - "skaistumkopšanas speciālists kosmetoloģijā". Konceptuāli atbalstot virzību un veselības aprūpes profesiju skaita mazināšanu, kas atbilst noteikumu projektā paredzētajam, aicinām paredzēt arī attiecīgus grozījumus likumā "Par reglamentētajām profesijām un profesionālās kvalifikācijas atzīšanu".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atbildīgo institūciju par grozījumu sagatavošanu likumā "Par reglamentētajām profesijām un profesionālās kvalifikācijas atzīšanu" lūdzam noteikt Veselības ministriju un Izglītības un zinātnes ministriju kā līdzatbildīgo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likumu ministrija ir attiecīgās valsts pārvaldes nozares vadošā iestāde, kas  organizē un koordinē likumu un citu normatīvo aktu īstenošanu un piedalās nozares politikas izstrādāšanā. Ievērojot minēto, noteikumu projekts paredz izmaiņas veselības aprūpes speciālistu kvalifikācijas ieguvē, bet ne profesionālās kvalifikācijas atzīšanā, kas būtu Izglītības un ministrijas kompetence. Veselības ministrija ir vadošā valsts pārvaldes iestāde veselības aprūpes politikas jomā saskaņā ar šīs ministrijas nolikumā noteikto.  Ministru kabineta 2014. gada 26. augusta sēdes protokola Nr.45 45.§ 13.1. un 13.2. apakšpunkts nosaka, ka normatīvā akta projektu izstrādā un par tā tālāku virzību ir atbildīga tā ministrija vai institūcija, kuras kompetencē ir attiecīgais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ir veicami vairāki pienākumi attiecībā uz Eiropas Parlamenta un Padomes 2005.gada 7. septembra direktīvas 2005/36/EK par profesionālo kvalifikāciju atzīšanu (turpmāk – direktīva 2005/36/EK)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25.panta 3.a punkts paredz, ka Latvijai ir jāpaziņo par ārstu specialitātēm, kuras ir atļauts apgūt īsākā laikā, paredzot, ka jau iepriekš iegūtās specialitātes apguve daļēji tiek ieskaitīta no jauna apgūstamajā specialitātē. Lūdzam Veselības ministriju paredzēt šo paziņojumu veikšanu sešu mēnešu laikā pēc noteikumu projekta pieņemšanas, informējot par to Profesionālās kvalifikācijas atzīšanas koordinatoru Inese Stūri (Inese.Sture@izm.gov.lv).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59.panta 1.punktā ir noteikts Latvijas pienākums publicēt Eiropas Komisijas reglamentēto profesiju datu bāzē informāciju par izmaiņām, kādas ir veiktas attiecībā uz prasībām kvalifikācijas ieguvei. Lūdzam Veselības ministriju paredzēt šo paziņojumu veikšanu Eiropas Komisijas Reglamentēto profesiju datu bāzē sešu mēnešu laikā pēc noteikumu projekta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ārstniecības personām izvirzāmos kritērijus jaunizveidotās papildspecialitātes vai apakšspecialitātes iegūšanai, neapgūstot izglītības programmu jaunizveidotajā papildspecialitātē vai apakšspecialitātē, un laikposmu, kurā ārstniecības personām, kas atbilst noteiktajiem kritērijiem, ir tiesības pretendēt uz ārstniecības personas sertifikātu minētajā papildspecialitātē vai apakšspecialitātē.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teksta nav skaidrs, vai  jaunizveidotās papildspecialitātes vai apakšspecialitātes iegūšanai pastāv paralēli akreditēta studiju programma un kaut kāds cits ceļš? Ja ir šis variants, tad ir jāveic darba vidē iegūto zināšanu un prasmju pielīdzināšana.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programmas saturā ietver caurviju kompetenču apguvi, izmantojot supervīziju kā pašvadītās mācīšanās, emocionālās inteliģences, komunikācijas prasmju (tai skaitā seksuālās un reproduktīvās veselības jomā), sadarbības un refleksijas spēju pilnveidošanas metodi, kā arī ietver kompetences tiesību un ētikas jomā, pacientu datu aizsardzībā, digitālajās prasmēs, pacientu drošībā, bērnu tiesību aizsardzībā, vardarbības atpazīšanā un dzimumu līdztiesībā.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rezidentūras studiju programmas sasniedzamos rezultātus arī atbilstoši Latvijas kvalifikācijas ietvarstruktūrā iekļautajiem Latvijas kvalifikāciju ietvarstruktūras (LKI) līmenim atbilstošo zināšanu, prasmju un kompetenču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Jaunzeme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 attiecībā uz minēto Ministru kabineta noteikumu projektu “Noteikumi par valsts profesionālās tālākizglītības un profesionālās pilnveides izglītības standartu” (23-TA-2814), jo šie noteikumi ir jau pieņemti: Ministru kabineta 2024. gada 20. februāra noteikumi Nr. 110 "Noteikumi par valsts profesionālās tālākizglītības un profesionālās pilnveides izglītības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kurā salīdzinātas "Spēkā esošā apakšspecialitātes, papildspecialitātes programma" un "Profesionālās tālākizglītības programma (projekts)", iedaļā "Programmas apguves intensitāte" lūdzam veikt precizējumu, ka skaitlis 40 attiecas uz stundām, nevis kredītpunktiem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23-TA-3092</w:t>
    </w:r>
    <w:r>
      <w:br/>
    </w:r>
    <w:r w:rsidR="00000000" w:rsidRPr="00000000" w:rsidDel="00000000">
      <w:rPr>
        <w:rtl w:val="0"/>
      </w:rPr>
      <w:t xml:space="preserve">Izdrukāts 26.03.2024.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23-TA-3092</w:t>
    </w:r>
    <w:r>
      <w:br/>
    </w:r>
    <w:r w:rsidR="00000000" w:rsidRPr="00000000" w:rsidDel="00000000">
      <w:rPr>
        <w:rtl w:val="0"/>
      </w:rPr>
      <w:t xml:space="preserve">Izdrukāts 26.03.2024.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Atzinumi_23-TA-3092.docx</dc:title>
</cp:coreProperties>
</file>

<file path=docProps/custom.xml><?xml version="1.0" encoding="utf-8"?>
<Properties xmlns="http://schemas.openxmlformats.org/officeDocument/2006/custom-properties" xmlns:vt="http://schemas.openxmlformats.org/officeDocument/2006/docPropsVTypes"/>
</file>