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1.</w:t>
            </w:r>
            <w:r w:rsidR="00000000" w:rsidRPr="00000000" w:rsidDel="00000000">
              <w:rPr>
                <w:vertAlign w:val="superscript"/>
                <w:rtl w:val="0"/>
              </w:rPr>
              <w:t xml:space="preserve">4</w:t>
            </w:r>
            <w:r w:rsidR="00000000" w:rsidRPr="00000000" w:rsidDel="00000000">
              <w:rPr>
                <w:rtl w:val="0"/>
              </w:rPr>
              <w:t xml:space="preserve">, 1.</w:t>
            </w:r>
            <w:r w:rsidR="00000000" w:rsidRPr="00000000" w:rsidDel="00000000">
              <w:rPr>
                <w:vertAlign w:val="superscript"/>
                <w:rtl w:val="0"/>
              </w:rPr>
              <w:t xml:space="preserve">5</w:t>
            </w:r>
            <w:r w:rsidR="00000000" w:rsidRPr="00000000" w:rsidDel="00000000">
              <w:rPr>
                <w:rtl w:val="0"/>
              </w:rPr>
              <w:t xml:space="preserve">, 1.</w:t>
            </w:r>
            <w:r w:rsidR="00000000" w:rsidRPr="00000000" w:rsidDel="00000000">
              <w:rPr>
                <w:vertAlign w:val="superscript"/>
                <w:rtl w:val="0"/>
              </w:rPr>
              <w:t xml:space="preserve">6</w:t>
            </w:r>
            <w:r w:rsidR="00000000" w:rsidRPr="00000000" w:rsidDel="00000000">
              <w:rPr>
                <w:rtl w:val="0"/>
              </w:rPr>
              <w:t xml:space="preserve">, 1.</w:t>
            </w:r>
            <w:r w:rsidR="00000000" w:rsidRPr="00000000" w:rsidDel="00000000">
              <w:rPr>
                <w:vertAlign w:val="superscript"/>
                <w:rtl w:val="0"/>
              </w:rPr>
              <w:t xml:space="preserve">7 </w:t>
            </w:r>
            <w:r w:rsidR="00000000" w:rsidRPr="00000000" w:rsidDel="00000000">
              <w:rPr>
                <w:rtl w:val="0"/>
              </w:rPr>
              <w:t xml:space="preserve">un 1.</w:t>
            </w:r>
            <w:r w:rsidR="00000000" w:rsidRPr="00000000" w:rsidDel="00000000">
              <w:rPr>
                <w:vertAlign w:val="superscript"/>
                <w:rtl w:val="0"/>
              </w:rPr>
              <w:t xml:space="preserve">8 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4</w:t>
            </w:r>
            <w:r w:rsidR="00000000" w:rsidRPr="00000000" w:rsidDel="00000000">
              <w:rPr>
                <w:rtl w:val="0"/>
              </w:rPr>
              <w:t xml:space="preserve">) Būvniecības ieceres iesniegums par jaunas būves būvniecību, kā arī par būvdarbiem esošā būvē, tai skaitā paziņojums par būvniecību, ir uzskatāms par iesniegumu (tai skaitā nostiprinājuma lūgumu):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zemes dienestam kadastra datu reģistrācijai vai aktualizācijai, ja atbilstoši regulējumam kadastra jomā būvi reģistrē vai tās datus aktualizē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Rajona (pilsētas) tiesai būves ierakstīšanai zemesgrāmatā, ja būve nav ierakstīta zemesgrāmatā, bet atbilstoši regulējumam zemesgrāmatas jomā attiecīgo būvi ieraksta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5</w:t>
            </w:r>
            <w:r w:rsidR="00000000" w:rsidRPr="00000000" w:rsidDel="00000000">
              <w:rPr>
                <w:rtl w:val="0"/>
              </w:rPr>
              <w:t xml:space="preserve">) Būvvaldes kompetencē esošo pārbaudi par būvniecības ieceres atbilstību normatīvo aktu prasībām nepārvērtē, veicot kadastra datu reģistrāciju vai aktualizāciju Nekustamā īpašuma valsts kadastra informācijas sistēmā, kā arī izskatot nostiprinājumu lūgumu rajona (pilsētas)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Jaunas būves būvniecības gadījumā šā panta 1.</w:t>
            </w:r>
            <w:r w:rsidR="00000000" w:rsidRPr="00000000" w:rsidDel="00000000">
              <w:rPr>
                <w:vertAlign w:val="superscript"/>
                <w:rtl w:val="0"/>
              </w:rPr>
              <w:t xml:space="preserve">4</w:t>
            </w:r>
            <w:r w:rsidR="00000000" w:rsidRPr="00000000" w:rsidDel="00000000">
              <w:rPr>
                <w:rtl w:val="0"/>
              </w:rPr>
              <w:t xml:space="preserve"> daļā noteikto kārtību piemēro ēkai, kas būvēta uz būvniecības ierosinātājam piederošas zemes kā arī inženierbūvei, kas pilnībā vai daļēji atrodas uz būvniecības ierosinātājam piederošas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sz w:val="20"/>
                <w:vertAlign w:val="superscript"/>
                <w:rtl w:val="0"/>
              </w:rPr>
              <w:t xml:space="preserve">7</w:t>
            </w:r>
            <w:r w:rsidR="00000000" w:rsidRPr="00000000" w:rsidDel="00000000">
              <w:rPr>
                <w:rtl w:val="0"/>
              </w:rPr>
              <w:t xml:space="preserve">) Šā panta 1.</w:t>
            </w:r>
            <w:r w:rsidR="00000000" w:rsidRPr="00000000" w:rsidDel="00000000">
              <w:rPr>
                <w:vertAlign w:val="superscript"/>
                <w:rtl w:val="0"/>
              </w:rPr>
              <w:t xml:space="preserve">4 </w:t>
            </w:r>
            <w:r w:rsidR="00000000" w:rsidRPr="00000000" w:rsidDel="00000000">
              <w:rPr>
                <w:rtl w:val="0"/>
              </w:rPr>
              <w:t xml:space="preserve">daļas 1. punktā noteikto kadastra datu reģistrāciju vai aktualizāciju veic pēc būvniecības ieceres pieņemšanas ekspluatācijā vai pēc paziņojuma par būvdarbu pabeigšanu no datiem un dokumentiem būvniecības informācijas sistēmā, savukārt šā panta 1.</w:t>
            </w:r>
            <w:r w:rsidR="00000000" w:rsidRPr="00000000" w:rsidDel="00000000">
              <w:rPr>
                <w:vertAlign w:val="superscript"/>
                <w:rtl w:val="0"/>
              </w:rPr>
              <w:t xml:space="preserve">4</w:t>
            </w:r>
            <w:r w:rsidR="00000000" w:rsidRPr="00000000" w:rsidDel="00000000">
              <w:rPr>
                <w:rtl w:val="0"/>
              </w:rPr>
              <w:t xml:space="preserve"> daļas 2. punktā noteikto ierakstīšanu zemesgrāmatā veic pēc kadastra datu reģistrācijas vai aktualizācijas.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8</w:t>
            </w:r>
            <w:r w:rsidR="00000000" w:rsidRPr="00000000" w:rsidDel="00000000">
              <w:rPr>
                <w:rtl w:val="0"/>
              </w:rPr>
              <w:t xml:space="preserve">) Pirms būvniecības ieceres pieņemšanas ekspluatācijā vai paziņojuma par būvdarbu pabeigšanas, būvniecības ierosinātājam ir tiesības papildus ierosināt datu reģistrāciju un aktualizāciju par ēkas jaunbūvi (jaunbūves reģistrāciju)."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likumprojektu, nosakot Vienotā būves reģistrācijas procesa ieviešanu saskaņā ar uzraudzības padomes apstiprināto Vienotā būves reģistrācijas procesa tvērumu. Tādējādi procesa attiecināšanu uz citiem būvniecības gadījumiem ieviešot pakāpeniski, nākamajos Vienotā būves reģistrācijas procesa izstrādes posmos.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Ābols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21.08.2025.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21.08.2025.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Atzinumi_25-TA-1438.docx</dc:title>
</cp:coreProperties>
</file>

<file path=docProps/custom.xml><?xml version="1.0" encoding="utf-8"?>
<Properties xmlns="http://schemas.openxmlformats.org/officeDocument/2006/custom-properties" xmlns:vt="http://schemas.openxmlformats.org/officeDocument/2006/docPropsVTypes"/>
</file>