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Sieviešu un vīriešu vienlīdzīgu tiesību un iespēju veicināšanas plāns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22.02.2024.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22.02.2024.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