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1.kārtas pētniecības projekta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 publisko vai privāto tiesību juridiskā persona (turpmāk – juridiskā persona), vai šo personu apvienība, kurai piešķirts programmas finansējums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2.2. punkta redakciju, un uzskata, ka terminu skaidrojumā ir jāsniedz pilna informācija par finansējuma saņēmēju. Tekstā tālāk tiek pieminēti gan finansējuma saņēmējs, gan projekta iesniedzējs, kas var tikt sajaukti (32. un 35.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novērst pretrunas 2.2., 32. 35. punktu apakšpunktos.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inovācijas klasteris – viedās specializācijas stratēģijas jomas (turpmāk - RIS3) vadības grupa, kas sevī ietver kompetences centru, klasteri, asociācijas, ministrijas pārstāvi un citus nozares dalībnieku pārstāvjus, kas apvienojušies vienā sadarbības platformā;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projekta 2.3.punktā lietoto skaidrojumu, kas ir inovāciju klasteris. LDDK uzskata, ka ir neatbilstība starp ANM lietotai terminoloģiju, kas ir inovāciju klasteris un kas ir konkrētas RIS3 jomas vadības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2.3.punktu.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pētniecības projekts – sadarbības partnera finansējuma saņēmējam iesniegts dokumentu kopums, kurā iekļauts iesniegums un pētniecības projekta apraksts, kas noteikts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saskaņā ar izstrādātajiem nosacījumiem par pētniecības projekta īstenošanu, ko apstiprinājusi pētniecības projektu atlases padome un par kuru saņemts labvēlīgs aģentūras lēmums par atbilstību komercdarbības atbalsta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un aicina precizēt 20.7 punkta redakciju, jo ir konstatējama pretruna ar noteikumu projekta ar 26.2. un 73. punktiem. Uzskatām, ka Ekonomikas ministrijas izstrādātajai vērtēšanas kritēriju piemērošanas metodikai jābūt publicētai vienlaikus ar atklātā konkursa izsludināšanu (vēlākais). Pretējā gadījumā nav iespējams ievērot noteikumu projekta 26.2. punktu, kas nosaka, ka minētajai kārtībai, kādā finansējuma saņēmējs izvērtē pētniecības projektu iesniegumus, jābūt balstītai minētajā metodikā.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projekta iesniedzējs - ir Latvijas Republikā reģistrēta juridiska persona, kura iesniedz projekta iesniegumu un atbilst šo noteikumu 29. punkta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2.9.punkta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precizēt 2.9.punktu, liekot atsauci uz 32.punkta nosacījumiem.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Finansējuma saņēmējs projekta īstenošanā var iesaistīt tikai tos sadarbības partnerus, kas nav finansējuma saņēmēja kapitāla daļu turētāji.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konceptuāli iebilst pret 37.punkta redakciju.LDDK uzskata, ka piedāvātais nosacījums liegs pieteikt un īstenot pētniecības projektus nozares vadošajiem uzņēmumiem un zinātniskajām institūcijām, jo publiskā finansējuma labai pārvaldībai kompetenču centru kapitāldaļu turētāji ir gan nozares vadošie komersanti, gan Latvijas lielākie zinātniskie institūti un universitātes, kas spēj nodrošināt finansējuma pārvaldības reputāciju un programmas saturisko ekspertīzi.Kompetenču centros ir izstrādāta Iekšējā kontroles sistēma un pētniecības projektu atlases principi, kas skaidri definē interešu konflikta novēršanas procedūras, tai skaitā, attiecībā uz kapitāldaļu turētājiem.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37.puktu šādā redakcijā "Finansējuma saņēmējam ir tiesības projekta īstenošanā iesaistīt arī sadarbības partnerus, kas nav finansējuma saņēmēja kapitāla daļu turētāji."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Investīcijas ietvaros finansējuma saņēmējs noslēguma maksājuma pieprasījumus aģentūrai iesniedz līdz 2026. 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novērts pretrunu starp noteikumu projekta 67. punktu, kas paredz, ka investīcijas ietvaros finansējuma saņēmējs noslēguma maksājuma pieprasījumus aģentūrai iesniedz līdz 2026. gada 30. jūnijam, un noteikumu projekta</w:t>
            </w:r>
            <w:r w:rsidR="00000000" w:rsidRPr="00000000" w:rsidDel="00000000">
              <w:rPr>
                <w:b w:val="1"/>
                <w:rtl w:val="0"/>
              </w:rPr>
              <w:t xml:space="preserve"> 69.5. punktu</w:t>
            </w:r>
            <w:r w:rsidR="00000000" w:rsidRPr="00000000" w:rsidDel="00000000">
              <w:rPr>
                <w:rtl w:val="0"/>
              </w:rPr>
              <w:t xml:space="preserve">, kas paredz, ka pētniecības projekta ietvaros finansējuma saņēmējam ir tiesības pēdējos maksājuma pieprasījumus veikt līdz 2026. gada maijam.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69.2.15. izstrādāt pētniecības projektu atlases kritērijus, kas ir savstarpēji saskaņoti starp inovāciju klasteriem, ja nepieciešams, arī ar nozares ministriju un aģentūru;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69.2.15 punkta redakciju, jo inovāciju klasteri/kompetences centri tiek atlasīti atklātā konkursā un nav zināmi līdz atlases noslēgumam, līdz ar to nav īstenojama norma par savstarpēju atlases kritēriju saskaņošanu, kuriem jābūt iesniegtiem kopā ar projekta pieteikumu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Maksimāli pieļaujamais Atveseļošanas fonda finansējums viena projekta ietvaros ir 10 000 000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izvērtēt iespēju samazināt viena projekta finansējumam piedāvāto summu, lai tiktu atbalstīti visi iespējami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23.01.2023. 20.05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23.01.2023. 20.05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Atzinumi_22-TA-3145.docx</dc:title>
</cp:coreProperties>
</file>

<file path=docProps/custom.xml><?xml version="1.0" encoding="utf-8"?>
<Properties xmlns="http://schemas.openxmlformats.org/officeDocument/2006/custom-properties" xmlns:vt="http://schemas.openxmlformats.org/officeDocument/2006/docPropsVTypes"/>
</file>