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ekspertu piesaiste digitālā brieduma novērtēšanai un citi ārpakalpojumi)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atbilde izziņas 4.punktā joprojām nepaskaidro, kāpēc un kādos gadījumos būs nepieciešama starptautiski atzīta eksperta piesaiste digitālā brieduma novērtēšanai 1.2.2.1.pasākuma ietvaros, pretēji Ekonomikas ministrijas sniegtajam skaidrojumam, ka digitālā brieduma testi nav nosakāmi kā obligāti, jo ir komersanti, kas pārzina digitalizācijas procesu nepieciešamos uzlabojumus saimnieciskajā darbībā un jau ir identificējuši kādi papildus ieguldījumi nepieciešami. Aicinām Ekonomikas ministriju ar šādu informāciju papildināt noteikumu projekta anotāciju, kā arī sniegt informāciju par ar ekspertu piesaisti plānotajām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digitālās brieduma novērtējuma  izmaksas – sākotnējā un otrreizējā digitālā brieduma testa veikšanas, digitālās ceļa kartes un atzinuma izstrādes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uzlabots otrreizējais digitālā brieduma testa rezultāts būs kā priekšnoteikums, lai gala labuma guvējs varētu saņemt atbalstu. Nepieciešamības gadījumā lūdzam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Gala labuma guvējs piekrīt, ka par to iegūtā informācija saskaņā ar šo noteikumu </w:t>
            </w:r>
            <w:r w:rsidR="00000000" w:rsidRPr="00000000" w:rsidDel="00000000">
              <w:rPr>
                <w:b w:val="1"/>
                <w:rtl w:val="0"/>
              </w:rPr>
              <w:t xml:space="preserve">X </w:t>
            </w:r>
            <w:r w:rsidR="00000000" w:rsidRPr="00000000" w:rsidDel="00000000">
              <w:rPr>
                <w:rtl w:val="0"/>
              </w:rPr>
              <w:t xml:space="preserve">punktu tiek izmantota analītikas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36.punktu un šajā punktā izteikto gala labuma guvēja piekrišanu iekļaut projektu iesniegumu atlases nolikumā, ņemot vērā, ka noteikumu projektā neiekļauj normas, kurām nepieciešama turpmāka darbība ar subjekta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norma tomēr tiek saglabāta, lūdzam atšifrēt noteikumu projekta 36.punktā ietverto norādi uz punkta numerāciju “X”.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iesniegšanas dienas. Šajos noteikumos minētās izmaksas gala labuma guvējiem ir attiecināmas no dienas, kad Finansējuma saņēmējs pieņēmis lēmumu par atbalsta piešķiršanu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attiecināmajām izmaksām projekta ietvaros, lūdzam precizēt noteikumu projekta 38.punktu, jo vēršam uzmanību, ka atbilstoši Eiropas Savienības fondu 2021.—2027. gada plānošanas perioda vadības likuma 1.panta 8.punktam projekts ir projekta iesniegums, kas atbilst projektu iesniegumu vērtēšanas kritērijiem un ko apstiprinājusi sadarbības iestāde, un atbilstoši šā likuma 1.panta 3.punktam finansējuma saņēmējs ir projekta iesniedzējs, kura projekta iesniegums ir apstiprināts. Lūdzam atbilstoši precizēt noteikumu projekta 38.punkta pirmo teikumu, papildinot aiz vārda “projekta” ar vārdu “iesnieguma”.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ne tikai informāciju par demarkāciju, bet arī informāciju par sinerģiju un papildinātību ar citiem atbalsta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1.3.sadaļā iekļaut vairāk skaitliskas nacionālajos plānošanas dokumentos, piemēram, Nacionālās industriālās politikas pamatnostādnēs 2021.-2027. gadam noteikto rādītāju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gadījumā, ja ir netieša ietekme uz horizontālo principu “Vienlīdzība, iekļaušana, nediskriminācija un pamattiesību ievērošana”, noteikumu projektā nepieciešams iekļaut vismaz vienu minētā horizontālā principa rādītāju pasākuma ietvaros un attiecīgas informācijas uzkrāšanas un aktuālo vērtību ziņošanas pienākumu. Lūdzam attiecīgi precizēt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02.09.2024.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02.09.2024.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Atzinumi_24-TA-672.docx</dc:title>
</cp:coreProperties>
</file>

<file path=docProps/custom.xml><?xml version="1.0" encoding="utf-8"?>
<Properties xmlns="http://schemas.openxmlformats.org/officeDocument/2006/custom-properties" xmlns:vt="http://schemas.openxmlformats.org/officeDocument/2006/docPropsVTypes"/>
</file>