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nacionālajā likumdošanā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„atbilstoši nacionālā likumdošanā noteiktajam" vietā ietvert atsauci uz normatīvo aktu jomu atbilstoši Ministru kabineta noteikumu 2009.gada 3.februāra Nr.108 "Normatīvo aktu projektu sagatavošanas noteikumi" 137. punktam. Vēršam uzmanību, ka likumdošana ir normatīvo aktu radīšanas process, nevis pašas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sadaļas 1. tabulā ietverto informāciju, ņemot vērā turpmāk minēto: 1) projekta 25.3. apakšpunktā nav ietverta atsauce uz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Attiecīgi aicinām tabulā norādi uz 25.3. apakšpunktu svītrot vai citādi atbilstoši precizēt tabulu; 2) projektā ir ietvertas atsauces uz tabulā neminētām Regulas Nr. 2021/1060 vienībām (sk. projekta 22. punktu), kā arī uz tabulā neminētas regulas vienībām (sk. projekta 25.5. apakšpunktu). Attiecīgi aicinām papildināt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03.08.2023.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03.08.2023.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