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 nodrošina komunikācijas un publicitātes pasākumus saskaņā ar </w:t>
            </w:r>
            <w:r w:rsidR="00000000" w:rsidRPr="00000000" w:rsidDel="00000000">
              <w:rPr>
                <w:rtl w:val="0"/>
              </w:rPr>
              <w:t xml:space="preserve">Eiropas Parlamenta un Padomes 2021.gada 12.februāra Regulas (ES) Nr. 2021/241, ar ko izveido Atveseļošanas un noturības mehānismu </w:t>
            </w:r>
            <w:r w:rsidR="00000000" w:rsidRPr="00000000" w:rsidDel="00000000">
              <w:rPr>
                <w:rtl w:val="0"/>
              </w:rPr>
              <w:t xml:space="preserve"> (turpmāk – Regula Nr.2021/241), 34.pantu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skaidrojumu, ka, īstenojot projektu, tiks ievērotas arī Eiropas Savienības fondu 2021.–2027. gada plānošanas perioda un Atveseļošanas fonda komunikācijas un dizaina vadlīnijas. Vēršam uzmanību, ka izziņā ir teikts, ka iepriekš izteiktais priekšlikums ir ņemts vērā, tomēr aktuālajā anotācijas redakcijā nav veikts papildinājums.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finansējuma saņēmējam Latvijas Republikā nav nodokļu  un nodevu parādi, tajā skaitā valsts sociālās apdrošināšanas obligāto iemaksu parādi,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Ministru kabineta noteikumu projekta 22.punktu, apvienojot ar tā apakšpunktu, ņemot vērā, ka ir tikai viens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pārbaudes ietvaros Satiksmes ministrija lūdz Aģentūrai sniegt tās rīcībā esošo informāciju, ka finansējuma saņēmējam Latvijas Republikā nav nodokļu un nodevu parādi, tajā skaitā valsts sociālās apdrošināšanas obligāto iemaksu parādi,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1.1. un 2.1.  apakšpunktu aizpildīt atbilstoši norādītajam 6.punktā, tas ir 2023.gadā – 7 515 000 </w:t>
            </w:r>
            <w:r w:rsidR="00000000" w:rsidRPr="00000000" w:rsidDel="00000000">
              <w:rPr>
                <w:i w:val="1"/>
                <w:rtl w:val="0"/>
              </w:rPr>
              <w:t xml:space="preserve">euro</w:t>
            </w:r>
            <w:r w:rsidR="00000000" w:rsidRPr="00000000" w:rsidDel="00000000">
              <w:rPr>
                <w:rtl w:val="0"/>
              </w:rPr>
              <w:t xml:space="preserve">, 2024.gadā – 24 335 000 </w:t>
            </w:r>
            <w:r w:rsidR="00000000" w:rsidRPr="00000000" w:rsidDel="00000000">
              <w:rPr>
                <w:i w:val="1"/>
                <w:rtl w:val="0"/>
              </w:rPr>
              <w:t xml:space="preserve">euro</w:t>
            </w:r>
            <w:r w:rsidR="00000000" w:rsidRPr="00000000" w:rsidDel="00000000">
              <w:rPr>
                <w:rtl w:val="0"/>
              </w:rPr>
              <w:t xml:space="preserve">, 2025.gadā – 27 050 000 </w:t>
            </w:r>
            <w:r w:rsidR="00000000" w:rsidRPr="00000000" w:rsidDel="00000000">
              <w:rPr>
                <w:i w:val="1"/>
                <w:rtl w:val="0"/>
              </w:rPr>
              <w:t xml:space="preserve">euro</w:t>
            </w:r>
            <w:r w:rsidR="00000000" w:rsidRPr="00000000" w:rsidDel="00000000">
              <w:rPr>
                <w:rtl w:val="0"/>
              </w:rPr>
              <w:t xml:space="preserve"> un 2026.gadā – 13 800 000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31.01.2023.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31.01.2023.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Atzinumi_22-TA-1622.docx</dc:title>
</cp:coreProperties>
</file>

<file path=docProps/custom.xml><?xml version="1.0" encoding="utf-8"?>
<Properties xmlns="http://schemas.openxmlformats.org/officeDocument/2006/custom-properties" xmlns:vt="http://schemas.openxmlformats.org/officeDocument/2006/docPropsVTypes"/>
</file>