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23-TA-1128: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22. decembra noteikumos Nr. 775 "Gada pārskatu un konsolidēto gada pārskatu likuma piemērošanas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Banka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(grozījumu)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      Izdarīt Ministru kabineta 2015. gada 22. decembra noteikumos Nr. 775 "Gada pārskatu un konsolidēto gada pārskatu likuma piemērošanas noteikumi" (Latvijas Vēstnesis, 2015, 253. nr.; 2017, 21. nr.; 2018, 33. nr.; 2022, 39. nr.) grozījumu un papildināt noteikumus ar jaunu 10.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 nodaļu šādā redakcijā: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"10.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 Kriptoaktīvu uzrādīšana grāmatvedībā un finanšu pārskatā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225.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 Šajos noteikumos termins “kriptoaktīvs”, “elektroniskās naudas žetons” un “aktīviem piesaistīts žetons” atbilst Eiropas Parlamenta un Padomes 2023. gada 31. maija regulas (ES) 2023/1114 par kriptoaktīvu tirgiem un ar ko groza regulas (ES) Nr. 1093/2010 un (ES) Nr.  1095/2010 un direktīvas 2013/36/ES un (ES) 2019/1937 (turpmāk — Regula Nr.  2023/1114) 3. panta 1. punkta 5., 6. un 7. apakšpunktā lietotajiem terminiem.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225.</w:t>
            </w:r>
            <w:r w:rsidR="00000000" w:rsidRPr="00000000" w:rsidDel="00000000">
              <w:rPr>
                <w:vertAlign w:val="superscript"/>
                <w:rtl w:val="0"/>
              </w:rPr>
              <w:t xml:space="preserve">2</w:t>
            </w:r>
            <w:r w:rsidR="00000000" w:rsidRPr="00000000" w:rsidDel="00000000">
              <w:rPr>
                <w:rtl w:val="0"/>
              </w:rPr>
              <w:t xml:space="preserve">  Aktīviem piesaistītos žetonus un kriptoaktīvus, kas nav elektroniskās naudas žetoni un aktīviem piesaistītie žetoni: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225.</w:t>
            </w:r>
            <w:r w:rsidR="00000000" w:rsidRPr="00000000" w:rsidDel="00000000">
              <w:rPr>
                <w:vertAlign w:val="superscript"/>
                <w:rtl w:val="0"/>
              </w:rPr>
              <w:t xml:space="preserve">2</w:t>
            </w:r>
            <w:r w:rsidR="00000000" w:rsidRPr="00000000" w:rsidDel="00000000">
              <w:rPr>
                <w:rtl w:val="0"/>
              </w:rPr>
              <w:t xml:space="preserve"> 1. grāmatvedībā norāda atbilstoši iegādes vai ražošanas izmaksām apgrozāmo līdzekļu sastāvā kā krājumus, izveidojot attiecīgu atsevišķu apakšposteni “Aktīviem piesaistīti žetoni” vai “Kriptoaktīvi”;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225.</w:t>
            </w:r>
            <w:r w:rsidR="00000000" w:rsidRPr="00000000" w:rsidDel="00000000">
              <w:rPr>
                <w:vertAlign w:val="superscript"/>
                <w:rtl w:val="0"/>
              </w:rPr>
              <w:t xml:space="preserve">2</w:t>
            </w:r>
            <w:r w:rsidR="00000000" w:rsidRPr="00000000" w:rsidDel="00000000">
              <w:rPr>
                <w:rtl w:val="0"/>
              </w:rPr>
              <w:t xml:space="preserve"> 2. gada beigās kriptoaktīvu atlikumu vērtību koriģē, lai tie bilances datumā būtu novērtēti atbilstoši iegādes izmaksām vai zemākajām tirgus cenām bilances datumā atkarībā no tā, kurš no šiem rādītājiem ir zemāks.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225.</w:t>
            </w:r>
            <w:r w:rsidR="00000000" w:rsidRPr="00000000" w:rsidDel="00000000">
              <w:rPr>
                <w:vertAlign w:val="superscript"/>
                <w:rtl w:val="0"/>
              </w:rPr>
              <w:t xml:space="preserve">3</w:t>
            </w:r>
            <w:r w:rsidR="00000000" w:rsidRPr="00000000" w:rsidDel="00000000">
              <w:rPr>
                <w:rtl w:val="0"/>
              </w:rPr>
              <w:t xml:space="preserve"> Elektroniskās naudas žetonus grāmatvedībā uzrāda apgrozāmo līdzekļu sastāvā postenī “Nauda”, izveidojot apakšposteni “Elektroniskās naudas žetons”.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225.</w:t>
            </w:r>
            <w:r w:rsidR="00000000" w:rsidRPr="00000000" w:rsidDel="00000000">
              <w:rPr>
                <w:vertAlign w:val="superscript"/>
                <w:rtl w:val="0"/>
              </w:rPr>
              <w:t xml:space="preserve">4</w:t>
            </w:r>
            <w:r w:rsidR="00000000" w:rsidRPr="00000000" w:rsidDel="00000000">
              <w:rPr>
                <w:rtl w:val="0"/>
              </w:rPr>
              <w:t xml:space="preserve"> Sabiedrība finanšu pārskata pielikumā sniedz informāciju par kriptoaktīvu veidiem un to uzskaitei pieņemto grāmatvedības politiku, kā arī to ietekmi uz finanšu pārskatu.”.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Normas skaidrībai un vieglākai uztveramībai ierosinām tehniski precizēt 225.</w:t>
            </w:r>
            <w:r w:rsidR="00000000" w:rsidRPr="00000000" w:rsidDel="00000000">
              <w:rPr>
                <w:vertAlign w:val="superscript"/>
                <w:rtl w:val="0"/>
              </w:rPr>
              <w:t xml:space="preserve">2</w:t>
            </w:r>
            <w:r w:rsidR="00000000" w:rsidRPr="00000000" w:rsidDel="00000000">
              <w:rPr>
                <w:rtl w:val="0"/>
              </w:rPr>
              <w:t xml:space="preserve"> punktu, to izsakot piedāvātajā redakcijā.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Secīgi rosinām tehniski precizēt anotācijas 1.3. sadaļas "Pašreizējā situācija, problēmas un risinājumi" apakšsadaļas "Risinājuma apraksts" 3. un 4. rindkopā ietverto skaidrojumu.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"225.</w:t>
            </w:r>
            <w:r w:rsidR="00000000" w:rsidRPr="00000000" w:rsidDel="00000000">
              <w:rPr>
                <w:vertAlign w:val="superscript"/>
                <w:rtl w:val="0"/>
              </w:rPr>
              <w:t xml:space="preserve">2</w:t>
            </w:r>
            <w:r w:rsidR="00000000" w:rsidRPr="00000000" w:rsidDel="00000000">
              <w:rPr>
                <w:rtl w:val="0"/>
              </w:rPr>
              <w:t xml:space="preserve">  Aktīviem piesaistīt</w:t>
            </w:r>
            <w:r w:rsidR="00000000" w:rsidRPr="00000000" w:rsidDel="00000000">
              <w:rPr>
                <w:u w:val="single"/>
                <w:rtl w:val="0"/>
              </w:rPr>
              <w:t xml:space="preserve">u</w:t>
            </w:r>
            <w:r w:rsidR="00000000" w:rsidRPr="00000000" w:rsidDel="00000000">
              <w:rPr>
                <w:rtl w:val="0"/>
              </w:rPr>
              <w:t xml:space="preserve">s žetonus un </w:t>
            </w:r>
            <w:r w:rsidR="00000000" w:rsidRPr="00000000" w:rsidDel="00000000">
              <w:rPr>
                <w:u w:val="single"/>
                <w:rtl w:val="0"/>
              </w:rPr>
              <w:t xml:space="preserve">citus </w:t>
            </w:r>
            <w:r w:rsidR="00000000" w:rsidRPr="00000000" w:rsidDel="00000000">
              <w:rPr>
                <w:rtl w:val="0"/>
              </w:rPr>
              <w:t xml:space="preserve">kriptoaktīvus, kas nav elektroniskās naudas žetoni:"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Viktors Veips (LB)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23-TA-1128</w:t>
    </w:r>
    <w:r>
      <w:br/>
    </w:r>
    <w:r w:rsidR="00000000" w:rsidRPr="00000000" w:rsidDel="00000000">
      <w:rPr>
        <w:rtl w:val="0"/>
      </w:rPr>
      <w:t xml:space="preserve">Izdrukāts 11.03.2025. 15.57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23-TA-1128</w:t>
    </w:r>
    <w:r>
      <w:br/>
    </w:r>
    <w:r w:rsidR="00000000" w:rsidRPr="00000000" w:rsidDel="00000000">
      <w:rPr>
        <w:rtl w:val="0"/>
      </w:rPr>
      <w:t xml:space="preserve">Izdrukāts 11.03.2025. 15.57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