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Atbalsta saņēmējs nodrošina, ka pēc atbalsta projekta pabeigšanas visa atbalsta saņēmēja īpašumā vai lietošanā esošā centralizētās siltumapgādes un aukstumapgādes sistēma atbilst normatīvajiem aktiem, kas nosaka efektīvas centralizētās siltumapgādes un efektīvas centralizētās aukstumapgādes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teritoriāli administratīvās reformas centralizētās siltumapgādes operatoriem tiek papildus nodotas īpašumā vai lietošanā centralizētās siltumapgādes sistēmas, kuras ne visas atbilst efektīvas centralizētās siltumapgādes kritērijiem. Tās ir nodalītas centralizētās siltumapgādes sistēmas dažādās teritoriālajās vienībās. Objektīvi vērtējot faktiskos apstākļus, pamatoti konstatējams, ka potenciālā atbalsta saņēmēja īpašumā vai lietošanā esošās visas centralizētās siltumapgādes sistēmas viena projekta ietvaros sakārtot atbilstoši efektīvas centralizētās siltumapgādes kritērijiem nav iespējams. Tādējādi pamatoti konstatējams, ka Noteikumu projekta 30.punkts piedāvātajā redakcijā var būtiski ierobežot daļu potenciālo atbalsta saņēmēju iespējas īstenot projektus energoefektivitātes veicināšanai un siltumnīcefekta gāzu emisiju samazināšanai. Ņemot vērā minēto un lai veicinātu Noteikumu projekta mērķu sasniegšanu un pēc iespējas plašāku centralizētās siltumapgādes komersantu iesaisti projektu īstenošanā, tai skaitā reģionos, Regulators lūdz papildināt Noteikumu projekta 30.punktu, to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Atbalsta saņēmējs nodrošina, ka pēc atbalsta projekta pabeigšanas atbalsta saņēmēja īpašumā vai lietošanā esošā nodalītā centralizētās siltumapgādes un aukstumapgādes sistēmā, kurā tika īstenots atbalsta projekts, atbilst normatīvajiem aktiem, kas nosaka efektīvas centralizētās siltumapgādes un efektīvas centralizētās aukstumapgādes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Aivis Reinholds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Atbalstu nepiešķir šādām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Noteikumu 29.punktā noteiktajiem principiem, lai nestimulētu neilgtspējīgus risinājumus, Regulators lūdz izvērtēt iespēju papildus iekļaut 31.punktā prasību, ka atbalsta saņēmējs, īstenojot projektu, neuzstāda ar biomasu darbināmus siltumavotus, kas izmanto augstas kvalitātes šķeldu (malkas un koksnes rūpniecības atlikumu šķelda ar pelnu saturu mazāk kā 2% saskaņā ar Baltpool šķeldas produktu tehnisko specifikāciju – SM1 un SM1W, https://www.baltpool.eu/lv/biomasas-birza/produkti/). Ilgtspējas prasības var nodrošināt visa veida kvalitātes šķelda, tomēr no nākotnes ekonomiskās attīstības un resursu izmantošanas viedokļa ir nepieciešams veicināt tieši zemas kvalitātes šķeldas izmantošanu. Tas nodrošinās zemākas kurināmā izmaksas, savukārt augstākas kvalitātes šķeldu ļaus izmantot dažādu produktu ar augstāku pievienoto vērtību ražošanai. Regulators, vērtējot siltumapgādes pakalpojumu tarifus, ir konstatējis gadījumus, kad siltumapgādes komersants norāda, ka nevar iegādāties sliktākas kvalitātēs šķeldu, jo siltumavotā to tehnoloģiski nevar izmantot. Ņemot vērā minēto, Regulators ierosina Noteikumu projektu papildināt ar 31.4.apakšpunktu.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biomasas siltumavotu, kas izmanto augstas kvalitātes šķeldu ar pelnu saturu ne vairāk kā 2%,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Aivis Reinholds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28.11.2024. 07.54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28.11.2024. 07.54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