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papildināt noteikumu projektu ar normu, kas paredz, ka finansējuma saņēmējs veic izmaksu un ieguvumu analīzi, atbilstošus papildinājumus veicot arī anotācijas 1.3. sadaļā. Vēršam uzmanību, ka Ministru kabineta 2023. gada 13. jūlija sēdes protokollēmumā (prot. Nr. 36 85. § 3. punkts) noteikts, ka, 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un ieguvumu analīze pēc būtības ir nepieciešama, lai noteiktu, vai plānotajā projektā gaidāmie ieguvumi (finanšu vai sociālekonomiskie) ir lielāki par projekta izmaksām visā projekta dzīves ciklā. Parasti publiskās pārvaldes projekti finansiāli rada zaudējumus, tādēļ vienīgais to attaisnojošais iemesls ir gaidāmie sociālekonomiskie ieguvumi no projekta jeb labums sabiedrībai (iedzīvotājiem).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netiek atbalstītas tādas projekta iesniedzēja darbības, kurām atbalsts ir kvalificējams kā komercdarbības atbalsts. Pasākuma ietvaros atbalsts tiek piešķirts, lai saskaņā ar normatīvajiem aktiem pašvaldību darbības jomā īstenotu pašvaldības autonomās funkcijas –  gādāt par iedzīvotāju izglītību un nodrošināt iedzīvotājiem atbalstu sociālo problēmu risināšanā, kā arī iespēju saņemt sociālo palīdzību un sociālos pakalpojumus un sniegt iedzīvotājiem daudzveidīgu kultūras piedāvājumu, un iespēju piedalīties kultūras dzīvē – un nodrošinātu no šīm autonomajām funkcijām izrietošo pārvaldes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pasākuma ietvaros iegādāto bezemisiju transportlīdzekli un tā darbības nodrošināšanai paredzēto uzlādes punkta infrastruktūru ir pieļaujams veikt papildinošu saimniecisko darbību, lūdzam noteikumu projektā precizēt, kādas darbības veicot varētu secināt, ka tiek veikta pamatdarbība attiecībā uz šādām pašvaldības autonomajām funkcijām: nodrošināt iedzīvotājiem atbalstu sociālo problēmu risināšanā, kā arī iespēju saņemt sociālo palīdzību un sociālos pakalpojumus un sniegt iedzīvotājiem daudzveidīgu kultūras piedāvājumu, un iespēju piedalīties kultūras dzīvē. Vēršam uzmanību, ka atbilstoši Eiropas Komisijas paziņojuma par Līguma par Eiropas Savienības darbību 107.panta 1.punktā minēto valsts atbalsta jēdzienu (2016/C 262/01) 207.punktam “ja jaukta izmantojuma gadījumā infrastruktūru izmanto galvenokārt tikai nesaimnieciskajai darbībai, Komisija uzskata, ka valsts atbalsta noteikumi uz attiecīgo finansējumu var vispār neattiekties ar nosacījumu, ka saimnieciskā darbība ir vienīgi papildinoša, tas ir, šī darbība ir tieši saistīta ar infrastruktūras ekspluatāciju un tai nepieciešama vai nesaraujami saistīta ar tās galveno nesaimniecisko izmantojumu". Vienlaikus lūdzam papildināt anotācijas 1.3. sadaļu ar piemēriem, kad attiecībā uz šīm pašvaldības autonomajām funkcijām darbība kvalificējas kā pamatdarbība, vai kā papildinoša saimnieciskā darbība.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pieļaujams, ka projekta ietvaros iegādāto bezemisiju transportlīdzekli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autonomo funkciju īstenošanai un tā darbības nodrošināšanai paredzēto uzlādes punkta infrastruktūru (ja attiecināms) vismaz 80 procentu apjomā no to gada jaudas laika izteiksmē izmanto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pašvaldības autonomo funkciju nodrošināšanai un no šīm autonomajām funkcijām izrietošo pārvaldes uzdevumu izpildei un līdz 20 procentiem no gada jaudas laika izteiksmē – papildinošās saimnieciskās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iekļaut normu, ka pie projekta iesnieguma tiek pievienots apliecinājums, kurā iekļauta norādītā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 noteikumu izpratnē par papildinošo saimniecisko darbību uzskata iedzīvotāju mobilitātes nodrošināšanu pasākumos, kas ir tieši saistīti ar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 pašvaldības autonomo funkciju īstenošanas procesu, piemēram, izglītojamo nodrošināšana ar transportu braucienam uz teātri, koncertu, ekskursijā un līdzīgiem pasākumiem, sociālo pakalpojumu un sociālās aprūpes klientu un darbinieku mobilitātes nodrošināšanu pasākumos, kas ir tieši saistīti ar sociālās palīdzības un sociālo pakalpojumu sasniegšanu un saņemšanu, kā arī pašvaldības kultūras darbinieku vai amatiermākslas kolektīvu mobilitātes nodrošināšanu pasākumos, kas ir tieši saistīti ar pašvaldības kultūras piedāvājuma nodrošināšanu, vai bezemisiju transportlīdzekļu uzlādes infrastruktūras (ja attiecināms) lietošanu citu pašvaldības autonomo funkciju nodrošināšanai paredzēto transportlīdzekļu uzlādei.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"citu pašvaldības autonomo funkciju nodrošināšanai paredzēto transportlīdzekļu uzlādēšana" nav sasaistīta ar pamata nesaimniecisko darbību infrastruktūrā, kas izriet no Pašvaldību likuma 4. panta 4., 5. un 9. apakšpunktā minēto pašvaldības autonomajām funkcijām, lai to varētu uzskatīt par papildinošu saimniecisko darbību. Līdz ar to, lūdzam precizēt  noteikumu projekta 8.punktu, lai nodrošinātu, ka bezemisiju transportlīdzekļu uzlādes infrastruktūra tiek izmantota tikai šajos MK noteikumos noteiktajai pamatdarbībai vai papildinošai saimnieciskai darbībai, kas ir nepieciešama, lai spētu nodrošināt pamata nesaimniecisko darbību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programmas rezultāta rādītāju – jaunā vai modernizētā publiskā transporta lietotāju skaits gadā – vismaz 323 000 lietotāji (turpmāk – pasažieri) gadā, tai skaitā par Taisnīgas pārkārtošanās fonda finansējumu, kas pieejams līdz 2025. gada 31. decembrim – 301 786 pasažieri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minimālo sasniedzamo rādītāju 1 projekta ietvaros vai reģiona ietvaros, lai nodrošinātu, ka rādītājs tiks sasniegts. Šobrīd nav skaidrs kā šis rādītājs tiks kontrolēts atlases ietvaros. Var izveidoties situācija, ka rādītājs konkursa ietvaros netiek sasniegt, bet finansējums ir izlietots pilnā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Šo noteikumu </w:t>
            </w:r>
            <w:r w:rsidR="00000000" w:rsidRPr="00000000" w:rsidDel="00000000">
              <w:rPr>
                <w:rtl w:val="0"/>
              </w:rPr>
              <w:t xml:space="preserve">12.2. </w:t>
            </w:r>
            <w:r w:rsidR="00000000" w:rsidRPr="00000000" w:rsidDel="00000000">
              <w:rPr>
                <w:rtl w:val="0"/>
              </w:rPr>
              <w:t xml:space="preserve">apakšpunktā</w:t>
            </w:r>
            <w:r w:rsidR="00000000" w:rsidRPr="00000000" w:rsidDel="00000000">
              <w:rPr>
                <w:rtl w:val="0"/>
              </w:rPr>
              <w:t xml:space="preserve"> minētā rezultāta rādītāja vērtība ir attiecināma ne vēlāk kā nākamajā kalendāra gadā pēc projekta noslēguma maksājuma veikšanas, nepārsniedzot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termiņu. Finansējuma saņēmējs Kohēzijas politikas fondu vadības informācijas sistēmā iesniedz pārskatu par pārvadāto pasažieru skaitu, kuru sadarbības iestāde izskata un apstiprina.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14.punktā un anotācijā norādīto. Anotācijā minēts, ka "sadarbības iestāde apstiprinājusi  finansējuma saņēmēja iesniegto pārskatu par pārvadāto pasažieru skaitu ne </w:t>
            </w:r>
            <w:r w:rsidR="00000000" w:rsidRPr="00000000" w:rsidDel="00000000">
              <w:rPr>
                <w:b w:val="1"/>
                <w:rtl w:val="0"/>
              </w:rPr>
              <w:t xml:space="preserve">vēlāk kā trešajā</w:t>
            </w:r>
            <w:r w:rsidR="00000000" w:rsidRPr="00000000" w:rsidDel="00000000">
              <w:rPr>
                <w:rtl w:val="0"/>
              </w:rPr>
              <w:t xml:space="preserve"> kalendāra gadā pēc bezemisiju transportlīdzekļa iegādes, bet nepārsniedzot 2029. gada 31. decembri.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anotācija precizēt kā tiks nodrošināta plānotā rezultāta rādītāja vērtības sasniegšana līdz 2029.gada 31.decembrim, ja 2.atlases kārtas projektu maksimālais īstenošanas termiņš ir paredzēts 2029.gada 31.decembris, bet informāciju par sasniegto rādītāja vērtību iesniedz gadu pēc noslēguma maksājuma veikšanas.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pirmās atlases kārtas ietvaros pieejamais finansējums ir 23 280 303 </w:t>
            </w:r>
            <w:r w:rsidR="00000000" w:rsidRPr="00000000" w:rsidDel="00000000">
              <w:rPr>
                <w:i w:val="1"/>
                <w:rtl w:val="0"/>
              </w:rPr>
              <w:t xml:space="preserve">euro</w:t>
            </w:r>
            <w:r w:rsidR="00000000" w:rsidRPr="00000000" w:rsidDel="00000000">
              <w:rPr>
                <w:rtl w:val="0"/>
              </w:rPr>
              <w:t xml:space="preserve">, tai skaitā Taisnīgas pārkārtošanās fonda finansējums – 19 788 257 </w:t>
            </w:r>
            <w:r w:rsidR="00000000" w:rsidRPr="00000000" w:rsidDel="00000000">
              <w:rPr>
                <w:i w:val="1"/>
                <w:rtl w:val="0"/>
              </w:rPr>
              <w:t xml:space="preserve">euro </w:t>
            </w:r>
            <w:r w:rsidR="00000000" w:rsidRPr="00000000" w:rsidDel="00000000">
              <w:rPr>
                <w:rtl w:val="0"/>
              </w:rPr>
              <w:t xml:space="preserve">un nacionālais finansējums – ne mazāk kā 3 492 046 </w:t>
            </w:r>
            <w:r w:rsidR="00000000" w:rsidRPr="00000000" w:rsidDel="00000000">
              <w:rPr>
                <w:i w:val="1"/>
                <w:rtl w:val="0"/>
              </w:rPr>
              <w:t xml:space="preserve">euro</w:t>
            </w:r>
            <w:r w:rsidR="00000000" w:rsidRPr="00000000" w:rsidDel="00000000">
              <w:rPr>
                <w:rtl w:val="0"/>
              </w:rPr>
              <w:t xml:space="preserv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17.punktā norādīto finansējumu, ņemot vērā, ka noteikumu projekta 17.1.1.-17.1.4.apakšpunktos norādītais kopējais Taisnīgas pārkārtošanās fonda finansējums un kopējais nacionālais finansējums neatbilst noteikumu projekta 17.1.apakšpunktā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Pasākuma ietvaros atbalstu var saņemt M1 kategorijas specializēto bezemisiju transportlīdzekļu, kas paredzēti arī ratiņkrēslos sēdošu cilvēku vai cilvēku ar īpašām vajadzībām pārvadāšanai (turpmāk – M1 kategorijas bezemisiju transportlīdzeklis), M2 kategorijas un M3 kategorijas bezemisiju transportlīdzekļu iegādei.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MK noteikumos vai anotācijā iekļaut papildus informāciju par normatīvo regulējumu, kas nosaka kritērijus, kas nosaka kādiem jāatbilst, lai M1 kategorijas transportlīdzeklis (furgons) atbilstu definīcijai “speciālizētais transportlīdzeklis” un saņemtu atbalstu, jo "vai" liecina, ka transportlīdzeklis var nebūt piemērots ratiņkrēslos sēdošu cilvēku pārvadāšanai.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projekta ietvaros paredzēts iegādāties M1 vai M2 kategorijas bezemisiju transportlīdzekli vai par bezemisiju transportlīdzekli pārbūvētu transportlīdzekli, Taisnīgas pārkārtošanās fonda finansējums par vienu transportlīdzekļa vienību nepārsniedz 300 000 </w:t>
            </w:r>
            <w:r w:rsidR="00000000" w:rsidRPr="00000000" w:rsidDel="00000000">
              <w:rPr>
                <w:i w:val="1"/>
                <w:rtl w:val="0"/>
              </w:rPr>
              <w:t xml:space="preserve">euro</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vai izmaksas 32. un 33. punktā ir tikai par transportlīdzekli vai arī kopā ar uzlādes stacijas izbūves/iegādes izmaksām un citām saistītajām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38.3.2. uzlādes punktam nepieciešamo stāvvietu un piebrauktuvju izbūves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vai šīs izmaksas ir attiecināmas arī gadījumos, ja tiek iegādāts mobila (pārvietojama) uzlādes iekārta.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38.3.4. izmaksas, kas saistītas ar būvobjekta (uzlādes punkta un ar to saistītās infrastruktūras) nodošanu ekspluatācijā saskaņā ar būvniecības jomu reglamentējošajiem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 ka šīs izmaksas ir attiecināmas tikai, ja paredzēti būvdarbi, t.i., neattiecina, ja iegādājas mobilu uzlādes iekārtu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38.6. projekta vadības personāla atlīdzības izmaksas, kuras saskaņā ar Eiropas Parlamenta un Padomes 2021. gada 24. jūnija Regulas (ES) </w:t>
            </w:r>
            <w:r w:rsidR="00000000" w:rsidRPr="00000000" w:rsidDel="00000000">
              <w:rPr>
                <w:rtl w:val="0"/>
              </w:rPr>
              <w:t xml:space="preserve">Nr. 2021/1060</w:t>
            </w:r>
            <w:r w:rsidR="00000000" w:rsidRPr="00000000" w:rsidDel="00000000">
              <w:rPr>
                <w:i w:val="1"/>
                <w:rtl w:val="0"/>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w:t>
            </w:r>
            <w:r w:rsidR="00000000" w:rsidRPr="00000000" w:rsidDel="00000000">
              <w:rPr>
                <w:rtl w:val="0"/>
              </w:rPr>
              <w:t xml:space="preserve">(turpmāk - regula Nr. 2021/1060) 55.panta 1.punktu plāno kā vienu izmaksu pozīciju, piemērojot vienoto izmaksu likmi piecu  procentu apmērā no projekta tiešajām attiecināmajām izmaksām, bet neieskaitot tiešās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personāla izmaksu vienotās likmes apmēru saskaņot ar Finanšu ministriju kā ES fondu vadošo iestādi, iesniedzot atbilstošus aprēķinus, kā arī papildināt anotāciju ar obligāti norādāmo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Neparedzētie izdevumi nepārsniedz piecus procentus no projekta kopējām tiešajām attiecināmajām izmaksām, un tos veic, lai nodrošinātu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vadlīnijām attiecināmo izmaksu noteikšanai Eiropas Savienības kohēzijas politikas programmas 2021.-2027.gada plānošanas periodā katram specifiskajam atbalsta mērķim (SAM) minētais procentuālais apmērs ir jāizvērtē individuāli, atkarībā no tā, cik apjomīgus un sarežģītus projektus paredzēts īstenot attiecīgajā SAM, taču tas kopumā nedrīkst pārsniegt 5 % no kopējo tiešo attiecināmo izmaksu summas. Līdz ar to lūdzam anotācijā iekļaut pamatojumu, kāpēc konkrētajā SAM nosaka procentuālo neparedzēto izdevumu tieši tādā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noteikumu projekta 40.punktu papildināt ar nosacījumu, ka neparedzēto izmaksu izlietošanu pirms izdevumu veikšanas finansējuma saņēmējs saskaņo ar sadarbības iestādi, kā to nosaka vienošanās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Neparedzētie izdevumi nepārsniedz piecus procentus no projekta kopējām tiešajām attiecināmajām izmaksām, un tos veic, lai nodrošinātu projekta īstenošanu, kā arī to izlietošanu finansējuma saņēmējs saskaņo ar sadarbības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Izmaksas, kas saskaņā ar šiem noteikumiem nav iekļaujamas kā attiecināmās izmaksas, finansējuma saņēmējs sedz no saviem līdzekļiem vai cita piesaistīta finansējuma, kas nav Taisnīgas pārkārtošanās fonda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pašvaldības saskaņā ar likuma “Par valsts budžetu 2023. gadam un budžeta ietvaru 2023., 2024. un 2025. gadam” 36.panta pirmās daļas 1.punktu var saņemt aizņēmumus ES fondu līdzfinansēto projektu īstenošanai, ar aizņēmuma apmēru, kas nepārsniedz projekta attiecināmo izmaksu kopsummu, projektā iekļautajām aktivitātēm, lūdzam skaidri precizēt, kāda veida finansējums  ir domāts ar citu piesaistīto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Izmaksas ir attiecināmas no projekta iesnieguma iesniegšanas brīža sadarbības iestādē, izņemot šo noteikumu </w:t>
            </w:r>
            <w:r w:rsidR="00000000" w:rsidRPr="00000000" w:rsidDel="00000000">
              <w:rPr>
                <w:rtl w:val="0"/>
              </w:rPr>
              <w:t xml:space="preserve">38.1.1. </w:t>
            </w:r>
            <w:r w:rsidR="00000000" w:rsidRPr="00000000" w:rsidDel="00000000">
              <w:rPr>
                <w:rtl w:val="0"/>
              </w:rPr>
              <w:t xml:space="preserve">apakšpunktā</w:t>
            </w:r>
            <w:r w:rsidR="00000000" w:rsidRPr="00000000" w:rsidDel="00000000">
              <w:rPr>
                <w:rtl w:val="0"/>
              </w:rPr>
              <w:t xml:space="preserve">  minētās izmaksas, kas ir attiecināmas, ja tās veiktas pēc 2021. gada 1. 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Eiropas Savienības fondu 2021.-2027.gada plānošanas likuma 36. pantu, lūdzam papildināt protokollēmumu ar punktu, kas nosaka finanšu plūsmas pirms projekta apstiprināšanas nodrošināšanas nosacījumus, kā arī Vides aizsardzības un reģionālās attīstības ministrijas un pašvaldības pienākumus un atbildību gadījumos, ja pirms projekta apstiprināšanas radušās izmaksas nav attiecināmas no Eiropas Savienības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 Eiropas Savienības fondiem nav attiecināmas izmaksas par pabeigtām darbībām, līdz ar to lūdzam izvērtēt un precizēt noteikumu projekta 44. punktu vai ar atbilstošu norādi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Sadarbības iestāde, ja tai ir pieejami valsts budžeta līdzekļi, pēc civiltiesiskā līguma vai vienošanās par projekta īstenošanu noslēgšanas, pamatojoties uz finansējuma saņēmēja rakstisku avansa pieprasījumu un izvērtējot plānotā avansa apmēru, tā pamatojumu un finansējuma saņēmēja spēju to izlietot sešu mēnešu laikā saimnieciskā gada ietvaros (finansējuma saņēmējam ir pabeigts iepirkums), var piešķirt finansējuma saņēmējam avansu. Finansējuma saņēmējam avansu var piešķirt līdz 80 procentiem no projektam piešķirtā Taisnīgas pārkārtošanās fonda finansējuma, ievērojot, ka avansu var izmaksāt vairākos maksājumos un avansa un starpposma maksājumu kopsumma nepārsniedz 90 procentus no projektam piešķirtā Taisnīgas pārkārtošanās fonda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25.04.2023. noteikumu Nr.205 "Valsts budžeta līdzekļu plānošanas kārtība Eiropas Savienības fondu projektu īstenošanai un maksājumu veikšanai 2021.–2027. gada plānošanas periodā " 10.punktā noteikts, ka maksimālais avansa apjoms nevar pārsniegt 30 % no projektam piešķirtā Eiropas Savienības fonda finansējuma, lūdzam anotācijā sniegt izvērstāku  pamatojumu par nepieciešamību noteikt avansa apjomu līdz 80%.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Īpašuma tiesības attiecībā uz projekta ietvaros atbalstītajiem infrastruktūras objektiem nemaina, un ieguldījums paliek Latvijas Republikas teritorijā vismaz piecus gadus pēc projekta noslēguma maksājuma veikšanas finansējuma saņēmējam. Īpašuma tiesības nostiprina zemesgrāmatās (izņemot gadījumu, ja pašvaldības īpašums uz normatīvā akta, līguma vai pašvaldības lēmuma pamata ir nodots pašvaldības iestādes – projekta iesniedzēja – pārvaldīšanā vai ja īpašuma tiesības uz īpašuma objektu ir spēkā bez to nostiprināšanas zemesgrāmatās).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atbalsts pasākuma ietvaros pašvaldībai vai infrastruktūras īpašniekam nebūtu jāskata komercdarbības atbalsta kontekstā, nosacījums par infrastruktūras nesaimniecisko izmantošanu ir ievērojams visā projekta dzīves cikla laikā (ieguldījumu amortizācijas periodā). Vēršam uzmanību, ka noteikumu projekta 54.punktā noteiktais piecu gadu termiņš ir pretrunā anotācijas 1.3. sadaļā sniegtajam skaidrojumam, ka: "</w:t>
            </w:r>
            <w:r w:rsidR="00000000" w:rsidRPr="00000000" w:rsidDel="00000000">
              <w:rPr>
                <w:i w:val="1"/>
                <w:rtl w:val="0"/>
              </w:rPr>
              <w:t xml:space="preserve">Noteikumu projekta ietvaros norādītais projekta dzīves cikls (tai skaitā ieguldījumu lietderīgais izmantošanas laiks jeb ieguldījumu amortizācijas periods) tiek noteikts atbilstoši Komisijas 2014.gada 3.marta Deleģētās Regulas (ES) Nr.480/2014, ar kuru papildina Eiropas Parlamenta un Padomes Regulu (ES)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zivjsaimniecības fondu  I pielikumam “15. panta 2. punktā minētie pārskata periodi”, kas piemērojams atkarībā no projekta investīciju jomas. </w:t>
            </w:r>
            <w:r w:rsidR="00000000" w:rsidRPr="00000000" w:rsidDel="00000000">
              <w:rPr>
                <w:i w:val="1"/>
                <w:u w:val="single"/>
                <w:rtl w:val="0"/>
              </w:rPr>
              <w:t xml:space="preserve">Saskaņā ar minētās regulas I pielikumu, piemērojamais dzīves cikls ir noteikts 10 – 15 gadi (Citas nozares).</w:t>
            </w:r>
            <w:r w:rsidR="00000000" w:rsidRPr="00000000" w:rsidDel="00000000">
              <w:rPr>
                <w:u w:val="single"/>
                <w:rtl w:val="0"/>
              </w:rPr>
              <w:t xml:space="preserve">" </w:t>
            </w:r>
            <w:r w:rsidR="00000000" w:rsidRPr="00000000" w:rsidDel="00000000">
              <w:rPr>
                <w:rtl w:val="0"/>
              </w:rPr>
              <w:t xml:space="preserve"> Ievērojot minēto, aicinām precizēt noteikumu projekta 54.punktu.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demarkācijas nodrošināšanu ar Atjaunošanas un noturības mehānisma plāna 3.1.1.6.i investīciju "Pašvaldību funkciju īstenošanai un pakalpojumu sniegšanai nepieciešamo bezemisiju transportlīdzekļu iegāde", ņemot vērā minētajā investīcijā pēc būtības līdzvērtīgās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terminiem noteikts - “M1 kategorijas bezemisiju transportlīdzeklis” šo noteikumu izpratnē ir daudzfunkciju specializētais vidēja vai liela izmēra pasažieru furgons, kura kopējā masa nepārsniedz 3,5 tonnas un kura sēdvietu skaits nepārsniedz astoņas pasažieru sēdvietas bez transportlīdzekļa vadītāja sēdvietas, tai skaitā M1 kategorijas transportlīdzeklis, kas īpaši konstruēts vai pārveidots tā, lai ar to, braucot pa ceļu, varētu pārvadāt vienu vai vairākus ratiņkrēslos sēdošus cilvēkus vai cilvēkus ar īpašām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papildus skaidrot, kas ir saprotams ar M1 kategorijas transportlīdzekli, kas īpaši konstruēts vai pārveidots tā, lai ar to, braucot pa ceļu, varētu pārvadāt cilvēkus ar īpašām vajadzībām, ņemot vērā, ka, lai pārvadātu cilvēkus ar dzirdes traucējumiem (cilvēks ar īpašām vajadzībām) M1 kategorijas TRL (furgonu) nav nepieciešams pārvadāt.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T.sk., no sniegtās informācijas saprotams, ka furgonus nedrīkstēs izmantot skolēnu pārvadāšanai, gadījumos, kad M2 vai M3 kategorijas izmantot ir nelietderīgi. Lūgums pamatot šo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viennozīmīgi skaidrs, kas sagatavos papildinošās saimnieciskās darbības metodiku, un kādi būs uzraudzības nosacījumi, lūdzam papildināt anotācijas 1.3.punktu, piemēram norādot to šādi: "Projekta infrastruktūras investīciju uzraudzības nosacījumi tiks paredzēti papildinošas saimnieciskas darbības metodikā, ko atbildīgā iestāde izstrādās pirms projektu iesniegumu atlases izsludināšanas, lai nodrošinātu, ka projektu iesniedzējiem pirms projektu iesniegumu iesniegšanas būs pieejama skaidra informācija par to,  kāda darbība var tikt klasificēta kā papildinoša saimnieciskā darbība, un kā tiek veikta tās uzskaite."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plašāku informāciju attiecībā uz 6.1.1.6.pasākumā plānoto ietekmi uz tautsaimniecību, norādot pēc iespējas izmērāmus faktiski sagaidāmos rezultātus. Vēršam uzmanību, ka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kur indikatīvais finansējuma sadalījums 2024. un 2025.gadam jānorāda ailē "izmaiņas, salīdzinot ar vidēja termiņa budžeta ietvaru", kā arī 5.3.apakšpunktā norādītā precizētā ietekme uz pašvaldību budžetu jānorāda pie attiecīgā gada, kurā būs finansiālā ietekme uz pašv.budžetu ailē "izmaiņas, salīdzinot ar vidēja termiņa budžeta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norādīt prognozēto finansējuma apmēru sadalījumā pa gadiem pasākuma īstenošanas visiem gadiem (proti, norādīt visu pasākumam paredzētā finansējuma sadalījumu pa gadiem), kā arī katrā gadā atsevišķi norādīt finansējuma sadalījumu pa avotiem (TPF finansējums un pašvaldības budžeta finansējums (EUR izteiksmē un %)), lai tiktu skaidri norādīts, kā veidojas anotācijas 3.sadaļas 1.-5.punktā ailēs norādītās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vienkāršoto izmaksu piemērošanas nosacījumus un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plašākas vienkāršoto izmaksu piemērošanas iespējas 6.1.1.6.pasākumā, ņemot vērā arī izvērtējumā par vienkāršoto izmaksu piemērošanas iespējām 2021.-2027. gada ES fondu plānošanas periodā minēto, ka 6.1.1.6.pasākumam ir vienkāršoto izmaksu piemērošanas lietderība.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ietvaros atbalsts tiek piešķirts, lai saskaņā ar normatīvajiem aktiem pašvaldību darbības jomā īstenotu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minētās pašvaldības autonomās funkcijas un nodrošinātu no šīm autonomajām funkcijām izrietošo pārvaldes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10.punktu, ņemot vērā, ka minētajā punktā ietvertais regulējums pārklājas ar noteikumu projekta 6.punktā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plānotais kopējais finansējums ir 24 916 837 </w:t>
            </w:r>
            <w:r w:rsidR="00000000" w:rsidRPr="00000000" w:rsidDel="00000000">
              <w:rPr>
                <w:i w:val="1"/>
                <w:rtl w:val="0"/>
              </w:rPr>
              <w:t xml:space="preserve">euro </w:t>
            </w:r>
            <w:r w:rsidR="00000000" w:rsidRPr="00000000" w:rsidDel="00000000">
              <w:rPr>
                <w:rtl w:val="0"/>
              </w:rPr>
              <w:t xml:space="preserve">(tai skaitā elastības finansējuma apjoms 1 636 534 </w:t>
            </w:r>
            <w:r w:rsidR="00000000" w:rsidRPr="00000000" w:rsidDel="00000000">
              <w:rPr>
                <w:i w:val="1"/>
                <w:rtl w:val="0"/>
              </w:rPr>
              <w:t xml:space="preserve">euro</w:t>
            </w:r>
            <w:r w:rsidR="00000000" w:rsidRPr="00000000" w:rsidDel="00000000">
              <w:rPr>
                <w:rtl w:val="0"/>
              </w:rPr>
              <w:t xml:space="preserve">), ko veido Taisnīgas pārkārtošanās fonda finansējums 21 179 311 </w:t>
            </w:r>
            <w:r w:rsidR="00000000" w:rsidRPr="00000000" w:rsidDel="00000000">
              <w:rPr>
                <w:i w:val="1"/>
                <w:rtl w:val="0"/>
              </w:rPr>
              <w:t xml:space="preserve">euro </w:t>
            </w:r>
            <w:r w:rsidR="00000000" w:rsidRPr="00000000" w:rsidDel="00000000">
              <w:rPr>
                <w:rtl w:val="0"/>
              </w:rPr>
              <w:t xml:space="preserve">(tai skaitā elastības finansējuma apjoms 1 391 054 </w:t>
            </w:r>
            <w:r w:rsidR="00000000" w:rsidRPr="00000000" w:rsidDel="00000000">
              <w:rPr>
                <w:i w:val="1"/>
                <w:rtl w:val="0"/>
              </w:rPr>
              <w:t xml:space="preserve">euro</w:t>
            </w:r>
            <w:r w:rsidR="00000000" w:rsidRPr="00000000" w:rsidDel="00000000">
              <w:rPr>
                <w:rtl w:val="0"/>
              </w:rPr>
              <w:t xml:space="preserve">) un nacionālais finansējums (pašvaldību finansējums) – ne mazāk kā 3 737 526 </w:t>
            </w:r>
            <w:r w:rsidR="00000000" w:rsidRPr="00000000" w:rsidDel="00000000">
              <w:rPr>
                <w:i w:val="1"/>
                <w:rtl w:val="0"/>
              </w:rPr>
              <w:t xml:space="preserve">euro </w:t>
            </w:r>
            <w:r w:rsidR="00000000" w:rsidRPr="00000000" w:rsidDel="00000000">
              <w:rPr>
                <w:rtl w:val="0"/>
              </w:rPr>
              <w:t xml:space="preserve">(tai skaitā elastības finansējuma apjoms – 245 480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16. punktu ar vārdu "attiecināmais" pēc vārda "kopējais".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Neizmantoto otrās atlases kārtas finansējumu un finansējumu, kas atbrīvojies projektu īstenošanas rezultātā, novirza secīgi nākamā kvalitatīvā projekta iesnieguma ar augstāko vērtējumu saskaņā ar kvalitātes kritērijiem atbalstīšanai.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procesu, kā plānots novirzīt neizmantoto otrās atlases kārtas finansējumu un finansējumu, kas atbrīvojies projektu īstenošanas rezultātā, t.i., vai plānots izveidot sarakstu ar atbalstītiem projektiem, bet noraidītiem dēļ nepietiekamā finansējuma un vai projekta iesniedzēji tiks atsevišķi informēti par iespējām saņemt finansējumu, ja tas atbrīvosies.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minimālais kopējais attiecināmo izmaksu apmērs nav mazāks par 200 000 </w:t>
            </w:r>
            <w:r w:rsidR="00000000" w:rsidRPr="00000000" w:rsidDel="00000000">
              <w:rPr>
                <w:i w:val="1"/>
                <w:rtl w:val="0"/>
              </w:rPr>
              <w:t xml:space="preserve">euro </w:t>
            </w:r>
            <w:r w:rsidR="00000000" w:rsidRPr="00000000" w:rsidDel="00000000">
              <w:rPr>
                <w:rtl w:val="0"/>
              </w:rPr>
              <w:t xml:space="preserve">(ieskaitot), un projektam pieejamais maksimālais Taisnīgas pārkārtošanās fonda finansējums ir 3 000 000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ietvaros var iegādāties M1 kategorijas transportlīdzekli (M1 - furgoni, ne vairāk par 8 sēdvietām + vadītājs, bez stāvvietām), kura izmaksas ir reizēm pat zem 100 000 </w:t>
            </w:r>
            <w:r w:rsidR="00000000" w:rsidRPr="00000000" w:rsidDel="00000000">
              <w:rPr>
                <w:i w:val="1"/>
                <w:rtl w:val="0"/>
              </w:rPr>
              <w:t xml:space="preserve">euro</w:t>
            </w:r>
            <w:r w:rsidR="00000000" w:rsidRPr="00000000" w:rsidDel="00000000">
              <w:rPr>
                <w:rtl w:val="0"/>
              </w:rPr>
              <w:t xml:space="preserve">, lūgums pārskatīt minimālo projekta izmaksu apjomu, vienlaikus anotācijā sniegt skaidrojumu par minimālā projekta attiecināmo izmaksu apjoma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ietvaros netiek paredzēts valsts atbalsts komercdarbībai, un sadarbība ar komersantiem tiek veidota tikai normatīvajos aktos publiskā iepirkuma jomā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23.punkta pirmo teikumu, kas pārklājas ar noteikumu projekta 6.punktā noteikto. Vienlaikus lūdzam svītrot arī vārdus "un sadarbība ar komersantiem tiek veidota tikai normatīvajos aktos publiskā iepirkuma jomā noteiktajā kārtībā", kam nav juridiskā sloga. Attiecīgo informāciju, ja nepieciešams, aicinām ietvert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iesniedzējs iesniedz projekta iesniegumu un papildu iesniedzamos dokumentus saskaņā ar sadarbības iestādes projektu iesniegumu atlases nolikumā noteikto, tai skaitā sniedz informāciju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26.punkta ievads daļēji pārklājas ar noteikumu projekta 25.punktu, aicinām noteikumu projekta 26.punkta ievadu izteikt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iesniedzējs projekta iesniegumam papildus pievieno šādu informāciju: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uzlādes punkta izbūvei nepieciešamās infrastruktūras īpašumtiesībām, kā arī par būvniecības, lietošanas, uzturēšanas un attīstības (tai skaitā modernizēšanas, pārbūves) kārtību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attiecināms)" izteikt citā redakcijā, lai novērstu interpretācijas iespējas. Informācija nav jāiesniedz, ja iegādājas pārvietojamu uzlādes iekārtu.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"(attiecināms tikai, ja paredzēta uzlādes izfrastruktūras būvniecība)"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38.4. projekta ietvaros iegādātā bezemisiju transportlīdzekļa īpašnieka civiltiesiskās atbildības obligātās apdrošināšanas un brīvprātīgās sauszemes transportlīdzekļu apdrošināšanas izmaksas, kuru polises derīguma termiņš  nepārsniedz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civiltiesiskās atbildības obligātās apdrošināšanas un brīvprātīgās sauszemes transportlīdzekļu apdrošināšanas līgumus slēdz uz laiku līdz 12 mēnešiem, aicinām izvērtēt iespēju noteikumu 38.4. punktu papildināt ar nosacījumu, paredzot, ka apdrošināšanas izmaksas ir attiecināmās, ja iegādātas projekta īstenošanas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ANM investīcijas 3.1.1.6.i "Pašvaldību funkciju īstenošanai un pakalpojumu sniegšanai nepieciešamo bezemisiju transportlīdzekļu iegāde" īstenošanas laikā esam saskārušies ar šādu situāciju: projektā paredzēts iegādāties bezemisiju transportlīdzekli, kā arī OCTA un KASKO polises 2 gadiem, ņemot vērā, ka polises var iegādāties uz 12 mēnešiem, polises par otro gadu nav iespējams iegādāties, jo projekta īstenošanas termiņš jau ir beidzies.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38.4. projekta ietvaros iegādātā bezemisiju transportlīdzekļa īpašnieka civiltiesiskās atbildības obligātās apdrošināšanas un brīvprātīgās sauszemes transportlīdzekļu apdrošināšanas izmaksas, </w:t>
            </w:r>
            <w:r w:rsidR="00000000" w:rsidRPr="00000000" w:rsidDel="00000000">
              <w:rPr>
                <w:u w:val="single"/>
                <w:rtl w:val="0"/>
              </w:rPr>
              <w:t xml:space="preserve">kas iegādātas projekta īstenošanas laikā</w:t>
            </w:r>
            <w:r w:rsidR="00000000" w:rsidRPr="00000000" w:rsidDel="00000000">
              <w:rPr>
                <w:rtl w:val="0"/>
              </w:rPr>
              <w:t xml:space="preserve"> un to derīguma termiņš nepārsniedz šo noteikumu 12. punktā minēto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Streipa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38.6. projekta vadības personāla atlīdzības izmaksas, kuras saskaņā ar Eiropas Parlamenta un Padomes 2021. gada 24. jūnija Regulas (ES) </w:t>
            </w:r>
            <w:r w:rsidR="00000000" w:rsidRPr="00000000" w:rsidDel="00000000">
              <w:rPr>
                <w:rtl w:val="0"/>
              </w:rPr>
              <w:t xml:space="preserve">Nr. 2021/1060</w:t>
            </w:r>
            <w:r w:rsidR="00000000" w:rsidRPr="00000000" w:rsidDel="00000000">
              <w:rPr>
                <w:i w:val="1"/>
                <w:rtl w:val="0"/>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w:t>
            </w:r>
            <w:r w:rsidR="00000000" w:rsidRPr="00000000" w:rsidDel="00000000">
              <w:rPr>
                <w:rtl w:val="0"/>
              </w:rPr>
              <w:t xml:space="preserve">(turpmāk - regula Nr. 2021/1060) 55.panta 1.punktu plāno kā vienu izmaksu pozīciju, piemērojot vienoto izmaksu likmi piecu  procentu apmērā no projekta tiešajām attiecināmajām izmaksām, bet neieskaitot tiešās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projektā lietoto terminoloģiju salāgotu ar Regulā Nr. 2021/1060 lietoto terminoloģiju, aicinām noteikumu projektā un anotācijā, kur attiecināms, aizstāt terminus personāla atlīdzība/ personāla atlīdzības izmaksas ar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uzkrāj datus par projektā plānotajiem un sasniegtajiem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minētajiem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kā nodrošināt iesniedzējam šī punkta izpildi un nodrošināt pasažieru uzskaiti, tā, lai uzskaite neradītu papildus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iespēju iekļaut papildus attiecināmās izmaksas sistēmām, kas nodrošinās pasažieru automātisku uzskaiti.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Šmite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Finansējuma saņēmējs nodrošina, ka projekta ietvaros plānotais atbalsts nepārklājas ar citos projektos piešķirto valsts un ārvalstu finanšu atbalsta instrumentu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spēkā esošos normatīvos aktus, lūdzam papildināt noteikumu projekta 47. punktu ar vārdiem "un dubultā finansējuma neiestāšanos".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Pasākuma ietvaros netiek atbalstītas projekta darbības, kurām atbalsts ir kvalificējams kā komercdarbības atbalsts. Ja ar saimniecisko darbību nesaistīts projekts tā ieviešanas gaitā vai uzraudzības periodā pēc tā pabeigšanas kļūst par projektu, kas saistīts ar saimniecisku darbību, kurai sniegtais atbalsts būtu kvalificējams kā komercdarbības atbalsts, finansējuma saņēmējs no privātā finansējuma atmaksā sadarbības iestādei visu nelikumīgi saņemto atbalstu kopā ar procentiem saskaņā ar Komercdarbības atbalsta kontroles likuma IV vai V nodaļu.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59.punkts un noteikumu projekta 64.punkts regulē vienu un to pašu situāciju, lūdzam svītrot dublējošās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plānoto investīciju ietekmi (tieša, netieša vai nav ietekmes) uz horizontālajiem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“Vienlīdzība, iekļaušana, nediskriminācija un pamattiesību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inovatīva publiskā iepirkuma nosacījumu piemērošanu un ar šo informāciju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sadaļas "Tiesību akta projekta ietekmējamās sabiedrības grupas, ietekme uz tautsaimniecības attīstību un administratīvo slogu" 2.1. punktu "Juridiskās personas" arī ar finansējuma saņēmējiem, ņemot vērā, ka atbilstoši noteikumu projektam, finansējuma saņēmējam tiek paredzēts ieguldījums no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punktu “Cita informācija” papildināt ar informāciju, ka pasākuma īstenošanai Taisnīgas pārkārtošanās fonda finansējuma daļa tiks pieprasīta no valsts budžeta programmas 80.00.00 “Nesadalītais finansējums Eiropas Savienības politiku instrumentu un pārējās ārvalstu finanšu palīdzības līdzfinansēto projektu un pasākumu īstenošanai”, kā arī norādīt sadarbības iestādes budžeta apakšprogrammu, kurā tiks plānots finansējums projektu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4. sadaļa "Tiesību akta projekta ietekme uz spēkā esošo tiesību normu sistēmu" ir par tiesību akta projekta ietekmi uz spēkā esošu tiesību normu sistēmu, lūdzam izvērtēt, vai tiešām izstrādātais normatīvais akts ietekmē norādītās regulas un ja izstrādātais normatīvais akts ietekmē abas norādītās regulas, lūdzam korekti un atbilstoši aizpildīt minēto anotācijas sadaļu, aizpildot lūgto pamatojuma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22.09.2023.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22.09.2023.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