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185 "Noteikumi par iedzīvotāju nodrošināšanu ar pirmās nepieciešamības precēm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punktu tiek svītrots Ministru kabineta 2024. gada 26. marta noteikumu Nr. 185 "Noteikumi par iedzīvotāju nodrošināšanu ar pirmās nepieciešamības precēm valsts apdraudējuma gadījumā" 3.1. apakšpunkts, ar kuru tika noteikts Sabiedrībai ar ierobežotu atbildību "Publisko aktīvu pārvaldītājs Possessor" pienākums pieprasīt informāciju Pilsonības un migrācijas lietu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tiek veiktas izmaiņas informācijas sniegšanas pienākumiem, lūdzu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jo atzīme "Jā" norāda uz to, ka "Jā, sabiedrības līdzdalība uz šo projektu neattiecas." Ņemot vērā, ka tika organizēta publiskā apspriešana, lūdzam norādīt "Nē" (Nē, sabiedrības līdzdalība uz šo projektu attiecas) un atbilstoši aizpildīt sadaļas, kas attiecas uz šo atbildes variantu.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iestādes, kuras nodrošina tiesību akta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24.11.2025.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24.11.2025.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Atzinumi_25-TA-535.docx</dc:title>
</cp:coreProperties>
</file>

<file path=docProps/custom.xml><?xml version="1.0" encoding="utf-8"?>
<Properties xmlns="http://schemas.openxmlformats.org/officeDocument/2006/custom-properties" xmlns:vt="http://schemas.openxmlformats.org/officeDocument/2006/docPropsVTypes"/>
</file>