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mazo vidējās kapitalizācijas un vidējās kapitalizācijas saimnieciskās darbības veicēju garantijas kredīta kvalitāte ir pielīdzināma vismaz B– kredītreitingam, kas norādīts šo noteikumu </w:t>
            </w:r>
            <w:r w:rsidR="00000000" w:rsidRPr="00000000" w:rsidDel="00000000">
              <w:rPr>
                <w:rtl w:val="0"/>
              </w:rPr>
              <w:t xml:space="preserve">​pielikumā</w:t>
            </w:r>
            <w:r w:rsidR="00000000" w:rsidRPr="00000000" w:rsidDel="00000000">
              <w:rPr>
                <w:rtl w:val="0"/>
              </w:rPr>
              <w:t xml:space="preserve"> minētajai kredīta kvalitātes klasei "Maksātspēju varētu mazināt nelabvēlīgi apstākļi" atbilstoši Komisijas regulas Nr. </w:t>
            </w:r>
            <w:r w:rsidR="00000000" w:rsidRPr="00000000" w:rsidDel="00000000">
              <w:rPr>
                <w:rtl w:val="0"/>
              </w:rPr>
              <w:t xml:space="preserve">2023/2831</w:t>
            </w:r>
            <w:r w:rsidR="00000000" w:rsidRPr="00000000" w:rsidDel="00000000">
              <w:rPr>
                <w:rtl w:val="0"/>
              </w:rPr>
              <w:t xml:space="preserve"> 4. panta 6.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10.9. apakšpunkta nosacījums ir attiecināms arī uz Komisijas regulas Nr.1408/2013 noteiktajām prasībām atbilstoši Komisijas regulas Nr.1408/2013 4. panta 6. punkta "a"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 Komisijas regulas Nr. 2023/2831 1. panta 1. punkta "a", "b", "c" un "d" apakšpunktā noteiktajās nozarēs vai minētā punkta "e" un "f" apakšpunktā noteiktās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projektu nepieciešams papildināt ar Komisijas regulas Nr. 1408/2013 1. panta 1. punktā noteikto prasību, ka atbalstu nepiešķir par Komisijas regulas Nr. 1408/2013 1. panta 1. 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 Komisijas regulas Nr. 2023/2831 1. panta 1. punkta "a", "b", "c" un "d" apakšpunktā noteiktajās nozarēs vai minētā punkta "e" un "f" apakšpunktā noteiktās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noteikumu projektā 13.</w:t>
            </w:r>
            <w:r w:rsidR="00000000" w:rsidRPr="00000000" w:rsidDel="00000000">
              <w:rPr>
                <w:vertAlign w:val="superscript"/>
                <w:rtl w:val="0"/>
              </w:rPr>
              <w:t xml:space="preserve">1</w:t>
            </w:r>
            <w:r w:rsidR="00000000" w:rsidRPr="00000000" w:rsidDel="00000000">
              <w:rPr>
                <w:rtl w:val="0"/>
              </w:rPr>
              <w:t xml:space="preserve">6. apakšpunktā paredzētā redakcija paredz stingrākas prasības, nekā to paredz Komisijas regulas Nr. 2023/2831 1. panta 1. punktā noteiktās prasības no atbalsta izslēdzot arī "b"un "c" apakšpunktā minētās atbalstāmās nozares. Atbalstu saskaņā ar Komisijas regulas Nr. 2023/2831 1. panta 1. punktā noteikto  "b"un "c" apakšpunktā minētajām nozarēm nepiešķir atbalstu par šajos apakšpunktos minētajām darbībām. Aicinām atbilstoši precizēt noteikumu projekta 13.</w:t>
            </w:r>
            <w:r w:rsidR="00000000" w:rsidRPr="00000000" w:rsidDel="00000000">
              <w:rPr>
                <w:vertAlign w:val="superscript"/>
                <w:rtl w:val="0"/>
              </w:rPr>
              <w:t xml:space="preserve">1</w:t>
            </w:r>
            <w:r w:rsidR="00000000" w:rsidRPr="00000000" w:rsidDel="00000000">
              <w:rPr>
                <w:rtl w:val="0"/>
              </w:rPr>
              <w:t xml:space="preserve">6. apakšpunktu neizslēdzot no atbalsta Komisijas regulas Nr. 2023/2831 1. panta 1. punktā  "b"un "c" apakšpunktā minētās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saimnieciskās darbības veicējs darbojas Komisijas regulas Nr. 2023/2831 1. panta 1. punkta "a", "b", "c" un "d" apakšpunktā noteiktajās nozarēs vai veic minētā punkta "e" un "f" apakšpunktā noteiktās darbības, </w:t>
            </w:r>
            <w:r w:rsidR="00000000" w:rsidRPr="00000000" w:rsidDel="00000000">
              <w:rPr>
                <w:i w:val="1"/>
                <w:rtl w:val="0"/>
              </w:rPr>
              <w:t xml:space="preserve">de minimis </w:t>
            </w:r>
            <w:r w:rsidR="00000000" w:rsidRPr="00000000" w:rsidDel="00000000">
              <w:rPr>
                <w:rtl w:val="0"/>
              </w:rPr>
              <w:t xml:space="preserve">atbalstu drīkst piešķirt tikai tad, ja atbalsta pretendents nodrošina šo nozaru vai darbību nodalīšanu vai uzskaites nodalīšanu.</w:t>
            </w:r>
            <w:r w:rsidR="00000000" w:rsidRPr="00000000" w:rsidDel="00000000">
              <w:rPr>
                <w:i w:val="1"/>
                <w:rtl w:val="0"/>
              </w:rPr>
              <w:t xml:space="preserve"> </w:t>
            </w:r>
            <w:r w:rsidR="00000000" w:rsidRPr="00000000" w:rsidDel="00000000">
              <w:rPr>
                <w:rtl w:val="0"/>
              </w:rPr>
              <w:t xml:space="preserve"> Ja saimnieciskās darbības veicējs vienlaikus darbojas vienā vai vairākās nozarēs, kas minētas šo noteikumu </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13.10.</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drīkst piešķirt tikai tad, ja tas nodrošina šo nozaru darbību vai uzskaites nodalīšanu.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papildinot ar nosacījumu, ka atbalsta saņēmējiem, kuri nodarbojas ar lauksaimniecības produktu primāro ražošanu, atbalstu piešķir kā </w:t>
            </w:r>
            <w:r w:rsidR="00000000" w:rsidRPr="00000000" w:rsidDel="00000000">
              <w:rPr>
                <w:i w:val="1"/>
                <w:rtl w:val="0"/>
              </w:rPr>
              <w:t xml:space="preserve">de minimis</w:t>
            </w:r>
            <w:r w:rsidR="00000000" w:rsidRPr="00000000" w:rsidDel="00000000">
              <w:rPr>
                <w:rtl w:val="0"/>
              </w:rPr>
              <w:t xml:space="preserve"> atbalstu, ievērojot Komisijas regulas Nr. 1408/2013 1. panta 2. un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Piešķirot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2023/2831</w:t>
            </w:r>
            <w:r w:rsidR="00000000" w:rsidRPr="00000000" w:rsidDel="00000000">
              <w:rPr>
                <w:rtl w:val="0"/>
              </w:rPr>
              <w:t xml:space="preserve"> 3. panta 2. punktā vai Komisijas regulas Nr. 1408/2013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Komisijas regulas Nr. </w:t>
            </w:r>
            <w:r w:rsidR="00000000" w:rsidRPr="00000000" w:rsidDel="00000000">
              <w:rPr>
                <w:rtl w:val="0"/>
              </w:rPr>
              <w:t xml:space="preserve">2023/2831</w:t>
            </w:r>
            <w:r w:rsidR="00000000" w:rsidRPr="00000000" w:rsidDel="00000000">
              <w:rPr>
                <w:rtl w:val="0"/>
              </w:rPr>
              <w:t xml:space="preserve"> 2. panta 2. punkta vai Komisijas regulas Nr. 1408/2013 2. panta 2. punktā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netiek pārsniegts arī Komisijas regulas Nr. 1408/2013 3. panta 3. punktā noteiktais maksimālais</w:t>
            </w:r>
            <w:r w:rsidR="00000000" w:rsidRPr="00000000" w:rsidDel="00000000">
              <w:rPr>
                <w:i w:val="1"/>
                <w:rtl w:val="0"/>
              </w:rPr>
              <w:t xml:space="preserve"> de minimis</w:t>
            </w:r>
            <w:r w:rsidR="00000000" w:rsidRPr="00000000" w:rsidDel="00000000">
              <w:rPr>
                <w:rtl w:val="0"/>
              </w:rPr>
              <w:t xml:space="preserve"> atbalsta apmērs, noteikumu projektā 27. punktu nepieciešams papildināt ar atsauci uz Komisijas regulas Nr. 1408/2013 3.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sekojošu informāciju: “Ņemot vērā, kā ar noteikumiem tiek paplašināts atbalsta saņēmēju loks attiecībā uz lauksaimniecības nozari, tad saskaņā ar sabiedrības “Altum” veiktajām aplēsēm potenciālais atbalsta saņēmēju loks varētu paplašināties par 100 līdz 150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28.04.2025.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28.04.2025.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