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4.3.2. specifiskā atbalsta mērķa “Kultūras un tūrisma lomas palielināšana ekonomiskajā attīstībā, sociālajā iekļaušanā un sociālajās inovācijās”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Specifiskā atbalsta ietvaros plānotais kopējais attiecināmais finansējums ir 20 166 038 </w:t>
            </w:r>
            <w:r w:rsidR="00000000" w:rsidRPr="00000000" w:rsidDel="00000000">
              <w:rPr>
                <w:i w:val="1"/>
                <w:rtl w:val="0"/>
              </w:rPr>
              <w:t xml:space="preserve">euro </w:t>
            </w:r>
            <w:r w:rsidR="00000000" w:rsidRPr="00000000" w:rsidDel="00000000">
              <w:rPr>
                <w:rtl w:val="0"/>
              </w:rPr>
              <w:t xml:space="preserve">(no tā elastības finansējums – 5 243 899 </w:t>
            </w:r>
            <w:r w:rsidR="00000000" w:rsidRPr="00000000" w:rsidDel="00000000">
              <w:rPr>
                <w:i w:val="1"/>
                <w:rtl w:val="0"/>
              </w:rPr>
              <w:t xml:space="preserve">euro</w:t>
            </w:r>
            <w:r w:rsidR="00000000" w:rsidRPr="00000000" w:rsidDel="00000000">
              <w:rPr>
                <w:rtl w:val="0"/>
              </w:rPr>
              <w:t xml:space="preserve">), tai skaitā Eiropas Reģionālās attīstības fonda finansējums 17 141 132 </w:t>
            </w:r>
            <w:r w:rsidR="00000000" w:rsidRPr="00000000" w:rsidDel="00000000">
              <w:rPr>
                <w:i w:val="1"/>
                <w:rtl w:val="0"/>
              </w:rPr>
              <w:t xml:space="preserve">euro </w:t>
            </w:r>
            <w:r w:rsidR="00000000" w:rsidRPr="00000000" w:rsidDel="00000000">
              <w:rPr>
                <w:rtl w:val="0"/>
              </w:rPr>
              <w:t xml:space="preserve">(no tā elastības finansējums – 4 457 314 </w:t>
            </w:r>
            <w:r w:rsidR="00000000" w:rsidRPr="00000000" w:rsidDel="00000000">
              <w:rPr>
                <w:i w:val="1"/>
                <w:rtl w:val="0"/>
              </w:rPr>
              <w:t xml:space="preserve">euro</w:t>
            </w:r>
            <w:r w:rsidR="00000000" w:rsidRPr="00000000" w:rsidDel="00000000">
              <w:rPr>
                <w:rtl w:val="0"/>
              </w:rPr>
              <w:t xml:space="preserve">) un nacionālais finansējums (valsts budžeta līdzfinansējums, pašvaldību līdzfinansējums un privātais līdzfinansējums) – 3 024 906 </w:t>
            </w:r>
            <w:r w:rsidR="00000000" w:rsidRPr="00000000" w:rsidDel="00000000">
              <w:rPr>
                <w:i w:val="1"/>
                <w:rtl w:val="0"/>
              </w:rPr>
              <w:t xml:space="preserve">euro </w:t>
            </w:r>
            <w:r w:rsidR="00000000" w:rsidRPr="00000000" w:rsidDel="00000000">
              <w:rPr>
                <w:rtl w:val="0"/>
              </w:rPr>
              <w:t xml:space="preserve">(no tā elastības finansējums – 786 585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projekta 21. un 22.punktā norādītos finansējuma saņēmējus ir precizējama 11. un 12.punkta redakcija, konkrēti norādot nacionālo līdzfinansējumu pa avotiem - valsts, pašvaldības un privātais līdzfinansējums, vienlaikus precizējot informāciju anotācijā. Norādām, ka nav pamatojuma valsts budžeta līdzekļu plānošanai līdzfinansējuma nodrošināšanai finansējuma saņēmējiem, kas nav budžeta iestādes vai atvasinātas publiskas personas - augstskolas vai zinātniskie institūti.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Eiropas Reģionālās attīstības fonda maksimālā finansējuma likme nepārsniedz 85 procentus no projekta kopējām attiecināmajām izmaksām, ja atbalsta sniegšana specifiskā atbalsta ietvaros tam nav kvalificējama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punktā noteikts, ka Eiropas Reģionālās attīstības fonda maksimālā finansējuma likme nepārsniedz 85 procentus no projekta kopējām attiecināmajām izmaksām, ja atbalsta sniegšana specifiskā atbalsta ietvaros tam nav kvalificējama kā komercdarbības atbalsts. Lūdzam papildināt noteikumu projektu ar normu vai precizēt noteikumu projekta 15. punktu, nosakot, kāda finansējuma likme ir tad, ja atbalsts 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veic izmaksu un ieguvumu analīzi, ievērojot, ka projekta ekonomiskā ienesīguma norma ir lielāka par sociālo diskonta likmi un projekta ekonomiskā neto pašreizējā vērtība ir lielāka par nulli,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nosacījumu par projekta izmaksu un ieguvumu analīzi, svītrojot 26.1. un 26.2.apakšpunktu un nosakot, ka izmaksu un ieguvumu analīze jāveic visiem projektiem. Lūdzam veikt atbilstošus precizējumus arī anotācijas 1.3.sadaļā “Pašreizējā situācija, problēmas un risinājumi. Precizējumu lūdzam veikt,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šī ir atklāta atlase, līdz ar to uz šo atlasi neattiecas 2023. gada 13. jūlija protokollēmumā (prot. Nr. 36 85. § 3. punkts) noteiktais par 1 000 000 euro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iesniedzot projekta iesniegumu, tam nebūs iesniegta izmaksu un ieguvumu analīze, jo tas nav plānots kā projekts kurš pretendē uz atbalstu saskaņā ar Komisijas regulas Nr. 651/2014 53. pantu, tas projekta pārskata periodā var kļūt par 53. panta atbalsta projektu un līdz ar to projekta iesniedzējam var būt problēmas izstrādāt un iesniegt projekta izmaksu un ieguvumu analīzi, pamatojot MK noteikumu 26.punktā noteiktos projekta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veic izmaksu un ieguvumu analīzi, ievērojot, ka projekta ekonomiskā ienesīguma norma ir lielāka par sociālo diskonta likmi un projekta ekonomiskā neto pašreizējā vērtība ir lielāka par nulli.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un sadarbības partneris: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informāciju, ka finansējuma saņēmējs un sadarbības partneris nodrošina sasniegto rezultātu ilgtspēju vismaz piecus gadus pēc noslēguma maksājuma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Eiropas Parlamenta un Padomes 2021. gada 14.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pantam ERAF vai KF ieguldījumos (infrastruktūras būvniecībā, aprīkojuma, tehniskā nodrošinājuma iegādē un IKT infrastruktūra) ilgtspēja jānodrošina vismaz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Izmaksas ir attiecināmas no šo noteikumu spēkā stāšanās, ja šīs izmaksas nav saistītas ar komercdarbības atbalstu. Projektā neiekļauj darbības, kas ir pabeigtas vienošanās vai līguma par projekta īstenošanu noslēgšanas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2021.-2027.gada plānošanas perioda vadības likuma 36.pants paredz, ka projektā radušās izmaksas var uzskatīt par attiecināmām, ja tās radušās un samaksātas pēc 2021.gada 1.janvāra un izmaksu attiecināmības nosacījumi, kas noteikti saskaņā ar šā likuma 19.panta 13.punktu, neparedz citu termiņu. Noteikumu projekta 1.7.apakšpunkts paredz noteikumos noteikt komercdarbības atbalsta saņemšanas nosacījumus. Lūdzam precizēt vai papildināt noteikumu projekta 32.punkta regulējumu, jo minētais regulējums nav skaidrs un rada interpretācijas problēmas par attiecināmības termiņu, gadījumā, ja izmaksas ir saistītas 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projekta vadības un īstenošanas personāla izmaksas, kuras saskaņā ar Regulas Nr. 2021/1060 55. panta 1. punktu projekta iesniegumā plāno kā vienu izmaksu pozīciju, piemērojot izmaksu vienoto likmi 5 procentu apmērā no projekta tiešajām attiecināmajām izmaksām, bet neieskaitot tiešās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vadošā iestāde nevar saskaņot personāla izmaksu vienotās likmes 5 procentu apmērā iekļaušanu noteikumu projektā, līdz attiecīgais vienotās likmes apmērs nav saskaņots ar vadošo iestādi atbilstoši vadošās iestādes vadlīniju Nr. 1.1. “Vadlīnijas par vienkāršoto izmaksu izmantošanas iespējām un to piemērošana Eiropas Savienības kohēzijas politikas programmas 2021.–2027.gadam ietvaros” 55.punktā noteiktajam (AI, paredzot piemērot šo vienotās likmes veidu un apjomu SAM ietvaros, saskaņo šo pieeju ar VI MK noteikumu par SAM īstenošanu izstrādes procesā, bet konkrētā izmaksu vienotā likme, pēc saskaņošanas ar VI, tiek noteikta MK noteikumos par SAM īstenošanu. MK noteikumos nosaka attiecināmo izmaksu pozīcijas, no kurām tiek aprēķināta konkrētā vienotā likme). Ņemot vērā, ka likmes aprēķins nav iesniegts, lūdzam 5 procentu vienotās likmes aprēķinu nosūtīt uz elektroniskā pasta adresi sco@fm.gov.lv neformālai saskaņošanai, kā arī jautājumu vai konsultāciju nepieciešamības gadījumā, rakstiet uz iepriekš norādīto e-pasta adresi, lai iespējami operatīvi varētu saņemt vienotās likmes saskaņojumu. Vienlaikus lūdzam norādīt likmes apmēra pamatojumu anotācijā. Papildus, ņemot vērā, ka MK noteikumi paredz sadarbības partneru iesaisti, tad lūgums skaidrot, vai sadarbības partneriem tiks segtas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Svarena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Komercdarbības atbalstu šo noteikumu ietvaros sniedz saskaņā ar Regulas Nr. 651/2014 53.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10. un 18.2. apakšpunktā noteikto, kā arī noteikumu projekta 34. apakšpunktos iekļautās izmaksas (projekta vadības un īstenošanas personāla izmaksas un kultūras pakalpojuma izveides izmaksas, aprīkojuma iegādes un uzstādīšanas izmaksas, kā arī izmaksas horizontālā principa “vienlīdzība, iekļaušana, nediskriminācija un pamattiesību ievērošana” īstenošanai), nav saprotams, vai atbalsts pasākuma ietvaros plānots tikai ieguldījumiem, kas atbilst Komisijas regulas Nr.615/2014 53.panta 3a apakšpunktā noteiktajam vai arī darbībām, kas atbilst Komisijas regulas Nr.615/2014 53.panta 3b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plānots atbalsts ieguldījumiem un darbībām, lūdzam attiecīgi precizēt noteikumu projektu, nosakot, kuras projekta attiecināmās izmaksas atbilst Komisijas regulas Nr.615/2014 53.panta 3a apakšpunktā noteiktajam atbalsta veidam (ieguldījumu atbalsts) un kuras - Komisijas regulas Nr.615/2014 53.panta 3b apakšpunktā noteiktajam atbalsta veidam (darbības atbalsts). Attiecīgi arī lūdzam precizēt anotāciju, ietverot skaidrojumu par plānotajiem atbalsta veidiem un to atbilstību Komisijas regulas Nr.615/2014 53.panta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ir pārkāptas regulas Nr. 651/2014 prasības vai ir konstatēts, ka projekts tā ieviešanas gaitā vai projekta pārskata periodā neatbilst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minētajiem gadījumiem un tam nav iespējams piemērot regulas Nr. 651/2014 53. panta nosacījumus vai tiek veikta saimnieciskā darbība, kas nav uzskatāma par papildpakalpojumu, atbalsta saņēmējam ir pienākums atmaksāt sadarbības iestādei saņemto nelikumīgo komercdarbības atbalstu kopā ar procentiem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52. punktā iekļauto atsauci uz noteikumu projekta 39. punktu, jo gadījumi, kad atbalsts nav uzskatāms par komercdarbības atbalstu, ir noteikti noteikumu projekta 40. punktā, turklāt amortizācijas periodā jānodrošina ir atbilstība tikai 40.1. apakšpunktam, ja tajā minētais izmantots kā komercdarbības atbalstu izslēdzošais kritērijs pie projekta vērtēšanas, nevis 40.2. apakšpunkts, uz ko neattiecas uzraudzība amortizācijas periodā. Papildus vienotas terminoloģijas piemērošanas nolūkos lūdzam vārda vietā “valsts” lietot vārdu “komercdarbības”.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pārkāptas regulas Nr. 651/2014 prasības vai ir konstatēts, ka projekts tā ieviešanas gaitā vai projekta pārskata periodā neatbilst šo noteikumu 40.1. apakšpunktā minētajiem gadījumiem vai tiek veikta saimnieciskā darbība, kas nav uzskatāma par papildpakalpojumu, un tam nav iespējams piemērot regulas Nr. 651/2014 53. panta nosacījumus, atbalsta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4.3.2. specifiskā atbalsta mērķa “Kultūras un tūrisma lomas palielināšana ekonomiskajā attīstībā, sociālajā iekļaušanā un sociālajās inovācijās”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paredzēts atbalsts kultūras infrastruktūrai (t.i., kultūras objektiem), noteikumu projektā vai anotācijā ir jābūt  ietvertiem nosacījumiem vai sniegtam skaidrojumam, ka pēc ES fondu ieguldījumu veikšanas attiecīgais objekts nodrošinās pašpietiekamību un būs spējīgs nodrošināt funkcionēšanu bez papildu publiskā atbalsta saņemšanas, t.sk. nodrošināt tā darbību atbilstoši noteiktajām funkcijām, nodrošināt atbilstošu infrastruktūras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Specifiskā atbalsta īstenošanu nodrošina Kultūras ministrija (turpmāk – atbildīgā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projekta 5.punkta redakciju, lai neveidotos interpretācijas problēmas par tiesību normas izpratni attiecībā uz projekta īstenotāju.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5.Specifiskā atbalsta ietvaros atbildīgās iestādes funkcijas pilda Kultūras ministrija (turpmāk -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iesniedzējam un sadarbības partnerim projekta ietvaros pieejamo publiskā finansējuma apmēru nosaka,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21.punkts nosaka, ka finansējumu piešķir projekta iesniedzējam – biedrībai, nodibinājumam un citai juridiskai personai, kuras pamatdarbība ir kultūras vai radošajā nozarē, valsts iestādei, pašvaldībai, pašvaldības iestādei vai valsts un pašvaldības kapitālsabiedrībai. Noteikumu projekta 17.2.apakšpunkts rada interpretācijas problēmas, jo izdala pašvaldību un tās izveidotu iestādi, kaut gan noteikumu projekts paredz arī citus projekta iesniedzēju veidus. Tādējādi lūdzam precizēt noteikumu projekta 17.punktā ietvertos apakšpunktus ar skaidru regulējumu, kas noteiktu, kādi nosacījumi iestājas, ja atbalsta sniegšanas kvalificējas vai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ja tai ir pieejami valsts budžeta līdzekļi, izvērtējot plānotā avansa apmēru, tā pamatojumu, pamatojoties uz finansējuma saņēmēja rakstisku avansa pieprasījumu, var piešķirt finansējuma saņēmējam avansu pēc vienošanās un līguma par projekta īstenošanu noslēgšanas.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50 procentiem no projektam piešķirtā Eiropas Reģionālās attīstības fonda finansējums un valsts budžeta līdzfinansējuma kopsummas, ievērojot, ka avansu var izmaksāt vairākos maksājumos un avansa un starpposma maksājumu kopsumma nepārsniedz 90 procentus no projektam piešķirtā Eiropas Reģionālās attīstības fonda un valsts budžeta finansējuma kopsummas.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21.punktā noteiktos projekta iesniedzējus, lūdzam noteikumu projekta 20.punktā skaidri norādīt, tieši kādiem projekta iesniedzējiem ir plānots avanss, jo vēršam uzmanību, ja finansējuma saņēmējs ir valsts pārvaldes iestādes, tām avansa maksājumi netiek plānoti, jo tām ir iespējams saņemt priekšfinansējumu, pieprasot to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Ministru kabineta 2023.gada 25.aprīļa noteikumu Nr.205 "Valsts budžeta līdzekļu plānošanas kārtība Eiropas Savienības fondu projektu īstenošanai un maksājumu veikšanai 2021.–2027.gada plānošanas periodā" 18.punktā noteikts, ka ja finansējuma saņēmējs ir biedrība vai nodibinājums, tad avansa un starpposma maksājuma kopsumma var būt līdz 95 % no projektam piešķirtā Eiropas Savienības fonda finansējuma un, ja tas ir paredzēts projektā, valsts budžeta līdzfinansējuma kopsummas, ja šāda avansa un starpposma maksājumu kopsumma ir paredzēta normatīvajā aktā par specifiskā atbalsta mērķa īstenošanu, kā arī sadarbības iestāde saskaņā ar minēto noteikumu 9.punktā noteikto kārtību ir atzinusi avansa pieprasījumu par pamatotu. Ievērojot minēto, aicinām izvērtēt nepieciešamību precizēt noteikumu projektu attiecībā uz avansa un starpposma maksājuma pieļaujamās kopsummas procentuālo apmēru finansējuma saņēmējiem, kuri ir biedrības un nodibinājumi.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norādīt, uz kuriem finansējuma saņēmējiem attiecināms nosacījums avansa apgūšanai sešu mēnešu laikā saimnieciskā gada ietvaros, norādām, ka nosacījums par avansa apgūšanu sešu mēnešu laikā saimnieciskā gada ietvaros attiecināms tikai uz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notācijā noteikts, ka finansējuma saņēmējam avansu var piešķirt līdz 50 procentiem no projektam piešķirtā Eiropas Reģionālā attīstības fonda finansējuma, savukārt, noteikumu projekta 20. punktā līdz 50 procentiem no projektam piešķirtā Eiropas Reģionālās attīstības fonda finansējums un valsts budžeta līdzfinansējuma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avansa saņemšanas nosacījumus anotācijā vai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Īpašuma vai turējuma tiesības attiecībā uz atbalstītajiem objektiem nemaina un ieguldījums paliek Latvijas Republikas teritorijā vismaz piecus gadus pēc noslēguma maksājuma veikšanas finansējuma saņēmējam. Īpašuma vai turējuma tiesības nostiprina zemesgrāmatā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UK 21-27 rakstiskajā procedūrā saskaņošanā esošajā "Projekta iesnieguma vērtēšanas kritēriju piemērošanas metodikā" vienotajā izvēles kritērijā Nr.2.1 ir minētas lietošanas vai valdījuma tiesības uz nekustamo īpašumu, intelektuālo īpašumu vai cita veida īpašumu, kurā tiks īstenotas projekta darbības, kuras nav minētas noteikumu projekta  24. punktā.  Lūdzam nodrošināt informācijas saskaņotību visos saistītajos dokumentos.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Fokina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tas atbilst grūtībās nonākuša komersanta statusam saskaņā ar Regulas Nr. 651/2014 2. panta 18. punkta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tiesību normas skaidrību un nepārprotamību, lūdzam precizēt apakšpunktu, vārdu "tas" aizstājot ar "projekta iesniedzējs un/ vai sadarbības partneris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projekta iesniedzējs un/ vai sadarbības partneris (ja attiecināms) atbilst grūtībās nonākuša komersanta statusam saskaņā ar Regulas Nr. 651/2014 2. panta 18. punkta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nodrošina projekta īstenošanas komunikācijas un vizuālās identitātes prasības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Regulas Nr. 2021/1060) 47. un 50. pantu un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norādi par komunikācijas un vizuālās identitātes prasību nodrošināšanas nosacījumu ievērošanu atbilstoši atbilstoši arī Eiropas Savienības fondu 2021.–2027.gada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Izmaksas ir attiecināmas no šo noteikumu spēkā stāšanās, ja šīs izmaksas nav saistītas ar komercdarbības atbalstu. Projektā neiekļauj darbības, kas ir pabeigtas vienošanās vai līguma par projekta īstenošanu noslēgšanas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21.punktā noteiktā projektu iesniedzēju uzskaitījuma izriet, ka projekta iesniedzējs būs arī valsts iestāde, attiecīgi vēršam uzmanību, ka gadījumā, ja projekta izmaksas paredzēts attiecināt no noteikumu spēkā stāšanās dienas vai pirms tam, un</w:t>
            </w:r>
            <w:r w:rsidR="00000000" w:rsidRPr="00000000" w:rsidDel="00000000">
              <w:rPr>
                <w:b w:val="1"/>
                <w:rtl w:val="0"/>
              </w:rPr>
              <w:t xml:space="preserve"> </w:t>
            </w:r>
            <w:r w:rsidR="00000000" w:rsidRPr="00000000" w:rsidDel="00000000">
              <w:rPr>
                <w:rtl w:val="0"/>
              </w:rPr>
              <w:t xml:space="preserve">finansējuma saņēmējs ir </w:t>
            </w:r>
            <w:r w:rsidR="00000000" w:rsidRPr="00000000" w:rsidDel="00000000">
              <w:rPr>
                <w:u w:val="single"/>
                <w:rtl w:val="0"/>
              </w:rPr>
              <w:t xml:space="preserve">valsts budžeta iestāde</w:t>
            </w:r>
            <w:r w:rsidR="00000000" w:rsidRPr="00000000" w:rsidDel="00000000">
              <w:rPr>
                <w:rtl w:val="0"/>
              </w:rPr>
              <w:t xml:space="preserve">, anotācijā ir jāsniedz pamatojums un noteikumu projektam ir jāpievieno Ministru kabineta sēdes protokollēmuma projekts, kas nosaka finanšu plūsmas pirms projekta apstiprināšanas nodrošināšanas nosacījumus, kā arī atbildīgās iestādes pienākumus un atbildību gadījumos, ja pirms projekta apstiprināšanas radušās izmaksas nav attiecināmas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izvērtēt, un ja nepieciešams papildināt Ministru kabineta sēdes protokollēmuma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netiešās attiecināmās izmaksas plāno kā vienu izmaksu pozīciju, piemērojot netiešo izmaksu vienoto likmi 15 procentu apmērā no šo noteikumu 38.1. apakšpunktā minētajām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atsauci uz 38.1.apakšpunktu, no kādām izmaksām tiek rēķināta vienotā likme 15 procentu apmērā, precizēt uz 34.1.apakšpunktu.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netiešās attiecināmās izmaksas plāno kā vienu izmaksu pozīciju, piemērojot netiešo izmaksu vienoto likmi 15 procentu apmērā no šo noteikumu </w:t>
            </w:r>
            <w:r w:rsidR="00000000" w:rsidRPr="00000000" w:rsidDel="00000000">
              <w:rPr>
                <w:b w:val="1"/>
                <w:rtl w:val="0"/>
              </w:rPr>
              <w:t xml:space="preserve">34.1. apakšpunktā</w:t>
            </w:r>
            <w:r w:rsidR="00000000" w:rsidRPr="00000000" w:rsidDel="00000000">
              <w:rPr>
                <w:rtl w:val="0"/>
              </w:rPr>
              <w:t xml:space="preserve"> minētajām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Svarena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tiešās attiecināmās izmaksas, kas sekmē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minētās atbalstāmās darbības,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vienkāršoto izmaksu iespējami plašāku piemērošanu arī citām izmaksu pozīcijām. Ja piemērot vienkāršotās izmaksas papildus jau paredzētajam nav iespējams, lūdzam sniegt pamatojumu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Svarena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34.2.7. ekspertu izmaksas, kas tieši saistītas ar investīcijām infrastruktūrā, būvuzraudzības, autoruzraudzības un arheoloģiskās uzraudzības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34.2.7. apakšpunktu izdalīt kā atsevišķu punktu, jo šīs nav projekta pamatojošās dokumentācijas sagatavošanas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10% ierobežojums no kopējām attiecināmajām izmaksām attiecas arī uz būvuzraudzības un autoruzraudzības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dzēst tekstu "ekspertu izmaksas, kas tieši saistītas ar investīcijām infrastruktūrā", ja nav paredzēta citu ekspertu piesaiste, ārpus noteikumu projekta 34.8.2. apakšpunktā noteiktajām ekspertu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Streipa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34.8.2. ekspertu konsultāciju izmaksas par dzimumu līdztiesības, personu ar invaliditāti vienlīdzīgu iespēju, vecuma nediskriminācijas, etniskās un citas piederības pamattiesību jautājumiem.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minētie eksperti nav uzskatāmi par projekta īstenošanas personālu.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Svarena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Specifiskā atbalsta atbalstāmo darbību ietvaros ir attiecināms pievienotās vērtības nodoklis tiešajām attiecināmajām izmaksām atbilstoši Regulas Nr. 2021/1060 64. panta 1. punkta "c" apakšpunkta nosacījumiem,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2021.gada 24.jūnija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64.panta 1.punkta "c" apakšpunktu </w:t>
            </w:r>
            <w:r w:rsidR="00000000" w:rsidRPr="00000000" w:rsidDel="00000000">
              <w:rPr>
                <w:u w:val="single"/>
                <w:rtl w:val="0"/>
              </w:rPr>
              <w:t xml:space="preserve">darbībām (t.i. projektiem), kuru kopējās izmaksas ir mazākas nekā 5 000 000 </w:t>
            </w:r>
            <w:r w:rsidR="00000000" w:rsidRPr="00000000" w:rsidDel="00000000">
              <w:rPr>
                <w:i w:val="1"/>
                <w:u w:val="single"/>
                <w:rtl w:val="0"/>
              </w:rPr>
              <w:t xml:space="preserve">euro</w:t>
            </w:r>
            <w:r w:rsidR="00000000" w:rsidRPr="00000000" w:rsidDel="00000000">
              <w:rPr>
                <w:u w:val="single"/>
                <w:rtl w:val="0"/>
              </w:rPr>
              <w:t xml:space="preserve"> (ieskaitot pievienotās vērtības nodokli (PVN)), PVN ir attiecināms</w:t>
            </w:r>
            <w:r w:rsidR="00000000" w:rsidRPr="00000000" w:rsidDel="00000000">
              <w:rPr>
                <w:rtl w:val="0"/>
              </w:rPr>
              <w:t xml:space="preserve">. No noteikumu projekta 14.punkta izriet, ka katra projekta maksimālais kopējais attiecināmais finansējums ir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Izņēmums no iepriekš minētās PVN attiecināmības ir gadījumos, </w:t>
            </w:r>
            <w:r w:rsidR="00000000" w:rsidRPr="00000000" w:rsidDel="00000000">
              <w:rPr>
                <w:u w:val="single"/>
                <w:rtl w:val="0"/>
              </w:rPr>
              <w:t xml:space="preserve">ja šādos projektos finansējuma saņēmējs ir komercdarbības atbalsta (t.sk. de minimis) saņēmējs,</w:t>
            </w:r>
            <w:r w:rsidR="00000000" w:rsidRPr="00000000" w:rsidDel="00000000">
              <w:rPr>
                <w:rtl w:val="0"/>
              </w:rPr>
              <w:t xml:space="preserve"> jo šādās situācijās </w:t>
            </w:r>
            <w:r w:rsidR="00000000" w:rsidRPr="00000000" w:rsidDel="00000000">
              <w:rPr>
                <w:u w:val="single"/>
                <w:rtl w:val="0"/>
              </w:rPr>
              <w:t xml:space="preserve">PVN tiešajām attiecināmajām izmaksām var tikt attiecināts tikai tādā gadījumā, ja tas nav atgūstams atbilstoši normatīvajiem aktiem nodokļu politikas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nepieciešamību precizēt noteikumu projektu, paredzot, ka gadījumos, kad finansējuma saņēmējs </w:t>
            </w:r>
            <w:r w:rsidR="00000000" w:rsidRPr="00000000" w:rsidDel="00000000">
              <w:rPr>
                <w:u w:val="single"/>
                <w:rtl w:val="0"/>
              </w:rPr>
              <w:t xml:space="preserve">nav</w:t>
            </w:r>
            <w:r w:rsidR="00000000" w:rsidRPr="00000000" w:rsidDel="00000000">
              <w:rPr>
                <w:rtl w:val="0"/>
              </w:rPr>
              <w:t xml:space="preserve"> komercdarbības atbalsta saņēmējs, </w:t>
            </w:r>
            <w:r w:rsidR="00000000" w:rsidRPr="00000000" w:rsidDel="00000000">
              <w:rPr>
                <w:u w:val="single"/>
                <w:rtl w:val="0"/>
              </w:rPr>
              <w:t xml:space="preserve">ir attiecināms PVN tiešajām attiecināmajām izmaksām</w:t>
            </w:r>
            <w:r w:rsidR="00000000" w:rsidRPr="00000000" w:rsidDel="00000000">
              <w:rPr>
                <w:rtl w:val="0"/>
              </w:rPr>
              <w:t xml:space="preserve">, attiecīgi neietverot norādi par to, ka PVN attiecināms tikai tad,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8.2.sadaļā, ka 4.3.2.SAM ir nebūtiska ietekme uz horizontālo principu “Klimatdrošināšana”, “Energoefektivitāte pirmajā vietā” un “Nenodarīt būtisku kaitējumu” īstenošanu īstenošanu, un KM nav plānojusi noteikt šai kārtai papildus nosacījumus, kas pārsniedz Latvijas nacionālajā horizontālajā regulējumā jau noteikto prasību ievērošanu, piemēram, prasība Zaļajam publiskajam iepirkumam (Ministru kabineta 2017. gada 20. jūnija noteikumi Nr. 353 “Prasības zaļajam publiskajam iepirkumam un to piemērošanas kārtība”), pienākums valsts iestādei, pašvaldībai un citai atvasinātai publiskai personai ziņot par iegūto enerģijas ietaupījumu pēc energopārvaldības sistēmas ieviešanas (Energoefektivitātes likums), prasības attiecībā uz ēku energoefektivitāti (Ministru kabineta 2021. gada 8. aprīļa noteikumi Nr. 222 “Ēku energoefektivitātes aprēķina metodes un ēku energosertifikācijas noteikumi”)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visiem intervences kodiem,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kohēzijas politikas programmai 2021. – 2027. gadam specifiskā atbalsta finansējuma sadalījums pa intervences kodiem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“Intervences laukums”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166 “Kultūras mantojuma aizsardzība, pilnveidošana un popularizēšana un kultūras pakalpojumi” – ERAF finansējums 17 141 132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 “Dotācija” - ERAF finansējums 17 141 132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“Teritoriālie sasniegšanas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33 “Bez teritoriālā mērķa” - ERAF finansējums 17 141 132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“ESF+ sekundārās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9 “Nav piemērojams” - ERAF finansējums 17 141 132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“Dzimumu līdztiesība”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 “Dzimumu neitralitāte” - ERAF finansējums 17 141 132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vai precizēt anotācijas 1.3.sadaļā norādīto: "Ir pieļaujams, ka par projekta būvniecības darbībām projekta iesnieguma iesniegšanas brīdī jau ir noslēgts būvdarbu līgums un uzsākti būvdarbi." lai nodrošinātu atbilstību 32.punkta nosacījumam, ka izmaksas ir attiecināmas no noteikumu spēkā stāšanās, ja šīs izmaksas nav saistītas 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anotācijā norādītās informācijas atbilstību noteikumu projektā noteiktajām attiecināmajām izmaksām un papildināt anotāciju ar 34.8. apakšpunktā minētajām izmaksām - izmaksas horizontālā principa "vienlīdzība, iekļaušana, nediskriminācija un pamattiesību ievērošana" īstenošanai, kas nepieciešamas, lai nodrošinātu atbilstību vides un informācijas piekļūstamības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Fokina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iesniedzēju loku, kuri kvalificējas kā "Kultūras un radošā nozare", ja iespējams, norādot nozares atbilstoši NACE. 2 klasifikatoram.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Fokina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noteikumu projekta un anotācijas saskaņotību, precizējot definēto projekta iesniedzēju un sadarbības partneru loku. Šī brīža noteikumu projekta 21. un 22. punktā norādītais projekta iesniedzēju un sadarbības partneru loks atšķiras no anotācijas 2.1. punktā "Sabiedrības grupas, kuras tiesiskais regulējums ietekmē, vai varētu ietekmēt" minētā (piemēram, plānošanas reģioni, reliģiskas organizācijas , kas nav ietverti noteikumu 21. un 22.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2.1.sadaļas apakšsadaļu "Juridiskās personas" ar norādi uz Kultūras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anotācijas budžeta sadaļas "Cita informācija" norādīt, no kura budžeta resora programmas plānots finansējums pasākumu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24-TA-1502</w:t>
    </w:r>
    <w:r>
      <w:br/>
    </w:r>
    <w:r w:rsidR="00000000" w:rsidRPr="00000000" w:rsidDel="00000000">
      <w:rPr>
        <w:rtl w:val="0"/>
      </w:rPr>
      <w:t xml:space="preserve">Izdrukāts 31.07.2024.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24-TA-1502</w:t>
    </w:r>
    <w:r>
      <w:br/>
    </w:r>
    <w:r w:rsidR="00000000" w:rsidRPr="00000000" w:rsidDel="00000000">
      <w:rPr>
        <w:rtl w:val="0"/>
      </w:rPr>
      <w:t xml:space="preserve">Izdrukāts 31.07.2024.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Atzinumi_24-TA-1502.docx</dc:title>
</cp:coreProperties>
</file>

<file path=docProps/custom.xml><?xml version="1.0" encoding="utf-8"?>
<Properties xmlns="http://schemas.openxmlformats.org/officeDocument/2006/custom-properties" xmlns:vt="http://schemas.openxmlformats.org/officeDocument/2006/docPropsVTypes"/>
</file>