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nelietot vārdu "neapguve", aizvietojot to ar vārdu salikumu "nav investēts" vai "nav ieguldīts" (attiecīgā locījumā) un atbilstoši precizējot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tiek pagarināti rīkojuma projekta 1. pielikuma (projekta pases) 5.1. punkta 2. un 3. apakšpunktā norādītie termiņi ieviešanai produkcijā.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rīkojuma projektu plānotās izmaiņas, tiks arī veikti grozījumi vienošanās par investīciju projekta īstenošanu, un vai tie ir būtiski,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rezultātu uzturēšanas izmaksas 2026., 2027. un 2028.gadam norādīt ailēs “izmaiņas, salīdzinot ar vidēja termiņa budžeta ietvaru” 2.1.apakšpunktā un attiecīgi 3.1. apakšpunktā, nevis ailē “saskaņā ar vidēja termiņa budžeta ietvaru”, jo projekta rezultātu uzturēšanai plānotais finansējums nav vēl ieplānots vidēja termiņa budžetā, ievērojot, ka to var pieprasīt tikai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ailēs “izmaiņas kārtējā gadā, salīdzinot ar valsts budžetu kārtējam gadam” un “izmaiņas, salīdzinot ar vidēja termiņa budžeta ietvaru” precizēt 5.1.apakšpunktā norādīto informāciju atbilstoši 3.1.apakšpunktā norādītajam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svītrot 2. rindkopu, jo Ministru kabineta 2024. gada 24. jūlija rīkojuma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(turpmāk – rīkojums Nr.627) 4.punktā jau ir noteikta kārtība, kādā tiks pieprasīts finansējums projekta rezultātu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Ministru kabineta 2024. gada 24. jūlija rīkojumā Nr. 627 tiek paplašināts pilnveidojamo funkcionalitāšu tvērums, aicinām izvērtēt izmaiņu nepieciešamību VARAM saskaņotajā attīstības aktivitātes aprakstā, VARAM iesniedzot Ministru kabineta 04.07.2023 noteikumu 368 “Informācijas sistēmu un to darbībai nepieciešamo informācijas un komunikācijas tehnoloģiju resursu un pakalpojumu attīstības aktivitāšu un likvidēšanas uzraudzības kārtība”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 un projekta izmaksas ne vairāk kā 2 459 365</w:t>
            </w:r>
            <w:r w:rsidR="00000000" w:rsidRPr="00000000" w:rsidDel="00000000">
              <w:rPr>
                <w:i w:val="1"/>
                <w:rtl w:val="0"/>
              </w:rPr>
              <w:t xml:space="preserve"> euro</w:t>
            </w:r>
            <w:r w:rsidR="00000000" w:rsidRPr="00000000" w:rsidDel="00000000">
              <w:rPr>
                <w:rtl w:val="0"/>
              </w:rPr>
              <w:t xml:space="preserve"> apmērā, tai skaitā Eiropas Savienības Atveseļošanas un noturības mehānisma finansējumu investīcijai 2 038 465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420 900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anotācijā minēto, ka atbilstoši Digitālās modernizācijas tematiskā komitejas 2025. gada 25. marta sēdes protokola Nr.1 4. § 2.1.4 apakšpunktam Atveseļošanas un noturības mehānisma plāna 2.1. reformu un investīciju virzienu dažos projektos identificētu ietaupījumu dēļ projektam Nr. 2.1.2.1.i.0/2/24/I/CFLA/005 “Pašvaldību vēlēšanu un referendumu IS funkcionalitātes pilnveide” (turpmāk – Projekts) tiek piešķirts papildu finansējums 550 000 euro ar pievienotās vērtības nodokli (turpmāk – PVN) apjomā, bet rīkojuma Nr. 627 1.punkta plānotajā redakcijā [AR1] finansējuma palielinājums projektam ir 566 405 euro, lūdzam anotāciju papildināt ar informāciju ar pamatojumu papildus 16 405 euro pārdalei un finansējuma avotu vai precizēt šo punktu atbilstoši anotācijā minētajam papildus piešķiramajam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Viedās administrācijas un reģionālās attīstības ministriju 1.pielikuma projekta (projekta pases) 6. punktā (Projekta pārvaldības un īstenošanas kapacitāte) izvērtēt nepieciešamību aktualizēt projekta īstenošanas laiku, ņemot vērā anotācijā sniegto informāciju, par projekta faktisko uzsākšanu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1.pielikuma (projekta pases) 4.3.1.-4.3.3. apakšpunktā norādīto izmaksu indikatīvo apmēru bez PVN, jo, saskaitot to kopā, neveidojas aktuālais plānotais Atveseļošanas un noturības mehānisma plāna finansējums 2 038 465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 finansējuma saņēmējs tiek mainīts no Valsts reģionālās attīstības aģentūras uz Valsts digitālās attīstības aģentūru, ņemot vērā, ka, pamatojoties uz Ministru kabineta 2024. gada 20. augusta rīkojumu Nr. 689 "Par Valsts reģionālās attīstības aģentūras reorganizāciju", ar 2024. gada 1. septembri reorganizēta Valsts reģionālās attīstības aģentūra, un tās nosaukums ir mainīts uz Valsts digitālās attīstības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Viedās administrācijas un reģionālās attīstības ministriju attiecībā uz rīkojuma projekta 2.pielikuma 3. punktā (Pakalpojuma rādītāji (pakalpojuma līmeņa vienošanās līmeņi (SLA)))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skaidrot, vai elektroniskās tiešsaistes vēlētāju reģistra (ETVR) gadījumā pakalpojuma pieprasītāja atkārtota pieprasījuma atjaunošanas un datņu pievienošanas plānotā vērtība &gt;90% ir pietiekoša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09.12.2025.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09.12.2025.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