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Pasākuma ietvaros netiek atbalstītas projekta darbības, kurām atbalsts ir kvalificējams kā komercdarbības atbalsts. Ja ar saimniecisko darbību nesaistīts projekts tā ieviešanas gaitā vai uzraudzības periodā pēc tā pabeigšanas kļūst par projektu, kas saistīts ar saimniecisku darbību, kurai sniegtais atbalsts būtu kvalificējams kā komercdarbības atbalsts, finansējuma saņēmējs no privātā finansējuma atmaksā sadarbības iestādei visu nelikumīgi saņemto atbalstu kopā ar procentiem saskaņā ar Komercdarbības atbalsta kontroles likuma IV vai V nodaļu.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bažas, ka noteikumu projekta 64. punktā noteiktais atbalsta saņemšanas nosacījums, iespējams, dublē noteikumu projekta 59. punktā ietverto regulējumu. Ievērojot minēto, lūdzam izvērtēt, vai noteikumu projekta 64. punkts ir izteikts atbilstoši Ministru kabineta 2009. gada 3. februāra noteikumu Nr. 108 „Normatīvo aktu projektu sagatavošanas noteikumi” 3.2. un 3.3. apakšpunktam un neatbilstības gadījumā izdarīt attiecīgus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5.4.1. tabulu ar visām noteikumu projekta vienībām, kurās ieviestas attiecīgajā noteikumu projekta punktā minētās Eiropas Savienības regulas (piemēram, noteikumu projekta 28. punktu un 30.1.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21.09.2023. 09.55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21.09.2023. 09.55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