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26.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projekta 24. punktam (MK noteikumu konsolidētās vērsijas 26. punkts) preču neatbilstības gadījumā </w:t>
            </w:r>
            <w:r w:rsidR="00000000" w:rsidRPr="00000000" w:rsidDel="00000000">
              <w:rPr>
                <w:u w:val="single"/>
                <w:rtl w:val="0"/>
              </w:rPr>
              <w:t xml:space="preserve">izdevumus par</w:t>
            </w:r>
            <w:r w:rsidR="00000000" w:rsidRPr="00000000" w:rsidDel="00000000">
              <w:rPr>
                <w:rtl w:val="0"/>
              </w:rPr>
              <w:t xml:space="preserve"> paraugu pārvietošanu un </w:t>
            </w:r>
            <w:r w:rsidR="00000000" w:rsidRPr="00000000" w:rsidDel="00000000">
              <w:rPr>
                <w:u w:val="single"/>
                <w:rtl w:val="0"/>
              </w:rPr>
              <w:t xml:space="preserve">paraugu iznīcināšanu</w:t>
            </w:r>
            <w:r w:rsidR="00000000" w:rsidRPr="00000000" w:rsidDel="00000000">
              <w:rPr>
                <w:rtl w:val="0"/>
              </w:rPr>
              <w:t xml:space="preserve"> no saimnieciskās darbības veicēja </w:t>
            </w:r>
            <w:r w:rsidR="00000000" w:rsidRPr="00000000" w:rsidDel="00000000">
              <w:rPr>
                <w:u w:val="single"/>
                <w:rtl w:val="0"/>
              </w:rPr>
              <w:t xml:space="preserve">piedzen Civilprocesa likuma noteiktajā kārtībā</w:t>
            </w:r>
            <w:r w:rsidR="00000000" w:rsidRPr="00000000" w:rsidDel="00000000">
              <w:rPr>
                <w:rtl w:val="0"/>
              </w:rPr>
              <w:t xml:space="preserve">. Savukārt likumprojekta “Grozījumi likumā “Par atbilstības novērtēšanu”” (Nr. 44/Lp14) 9.</w:t>
            </w:r>
            <w:r w:rsidR="00000000" w:rsidRPr="00000000" w:rsidDel="00000000">
              <w:rPr>
                <w:vertAlign w:val="superscript"/>
                <w:rtl w:val="0"/>
              </w:rPr>
              <w:t xml:space="preserve">6</w:t>
            </w:r>
            <w:r w:rsidR="00000000" w:rsidRPr="00000000" w:rsidDel="00000000">
              <w:rPr>
                <w:rtl w:val="0"/>
              </w:rPr>
              <w:t xml:space="preserve"> panta ceturtajā daļā teikts, ka </w:t>
            </w:r>
            <w:r w:rsidR="00000000" w:rsidRPr="00000000" w:rsidDel="00000000">
              <w:rPr>
                <w:u w:val="single"/>
                <w:rtl w:val="0"/>
              </w:rPr>
              <w:t xml:space="preserve">preču iznīcināšanas izdevumus piedzen</w:t>
            </w:r>
            <w:r w:rsidR="00000000" w:rsidRPr="00000000" w:rsidDel="00000000">
              <w:rPr>
                <w:rtl w:val="0"/>
              </w:rPr>
              <w:t xml:space="preserve"> </w:t>
            </w:r>
            <w:r w:rsidR="00000000" w:rsidRPr="00000000" w:rsidDel="00000000">
              <w:rPr>
                <w:u w:val="single"/>
                <w:rtl w:val="0"/>
              </w:rPr>
              <w:t xml:space="preserve">Administratīvā procesa likuma noteiktajā kārtībā</w:t>
            </w:r>
            <w:r w:rsidR="00000000" w:rsidRPr="00000000" w:rsidDel="00000000">
              <w:rPr>
                <w:rtl w:val="0"/>
              </w:rPr>
              <w:t xml:space="preserve">. </w:t>
            </w:r>
            <w:r w:rsidR="00000000" w:rsidRPr="00000000" w:rsidDel="00000000">
              <w:rPr>
                <w:u w:val="single"/>
                <w:rtl w:val="0"/>
              </w:rPr>
              <w:t xml:space="preserve">Nav saprotams, kuros gadījumos piedziņa būs jānodrošina civilprocesuālajā kārtībā un kuros - administratīvā procesa kārtībā</w:t>
            </w:r>
            <w:r w:rsidR="00000000" w:rsidRPr="00000000" w:rsidDel="00000000">
              <w:rPr>
                <w:rtl w:val="0"/>
              </w:rPr>
              <w:t xml:space="preserve">. Anotācija nesatur paskaidrojumu, kamdēļ pēc būtības līdzīgi izdevumi ir piedzenami atšķirīgu procesu ietvaros. Tāpat, praksē var veidoties arī tādas situācijas, kad par vienas un tās pašas neatbilstošas preces iznīcināšanu iestāde varēs vienlaikus nodrošināt divus paralēlus piedziņas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visu izdevumu piedziņas viena procesa - civilprocesa vai administratīvā procesa - ietvaros, kā arī neattiecināt MK noteikumu 24. punktu (MK noteikumu konsolidētās versijas 26. punktu) uz paraugu iznīcināšanu, jo attiecībā uz to ir piemērojama hierarhijas ziņā augstāka juridiska spēka norma (likumprojekta “Par atbilstības novērtēšanu”” (Nr. 44/Lp14) 9.</w:t>
            </w:r>
            <w:r w:rsidR="00000000" w:rsidRPr="00000000" w:rsidDel="00000000">
              <w:rPr>
                <w:vertAlign w:val="superscript"/>
                <w:rtl w:val="0"/>
              </w:rPr>
              <w:t xml:space="preserve">6</w:t>
            </w:r>
            <w:r w:rsidR="00000000" w:rsidRPr="00000000" w:rsidDel="00000000">
              <w:rPr>
                <w:rtl w:val="0"/>
              </w:rPr>
              <w:t xml:space="preserve">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Šišuļins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06.01.2023.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06.01.2023.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