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25-TA-759: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Atbalsta piešķiršanas kārtība pašvaldību vietējās ekonomikas stiprināšanai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projekta iesniedzējs – pašvaldība, kapitālsabiedrība, kurā valsts daļa pamatkapitālā pārsniedz 50 procentus, pašvaldības kapitālsabiedrība, kuras pašvaldības daļa pamatkapitālā atsevišķi vai kopsummā pārsniedz 50 procentus, un vairāku pašvaldību veidota kapitālsabiedrība, kuras pašvaldību daļa pamatkapitālā kopsummā pārsniedz 65 procentus, speciālās ekonomiskās zonas pārvalde vai ostas pārvalde, kura Latvijas Investīciju un attīstības aģentūras (turpmāk – Aģentūra) izsludinātajā atlasē iesniegusi projekta iesniegumu atbalsta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projektu papildināt, norādot, ka noteikumu projekta 2.1.apakšpunktā minētie projekta iesniedzēji, kuri ir klasificēti vispārējā valdības sektorā, saņemto atbalstu izlieto līdz 2025.gada beigām.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uzņēmējdarbības atbalsta konkursa īstenošanai – izmaksas granta nodrošināšanai komersantiem;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6.1.apakšpunktā noteiktā ir secināms, ka Aģentūras sniegto atbalstu saņems ne tikai 2.1.apakšpunktā minētie atbalsta saņēmēji, bet arī 6.1.apakšpunktā minētie komersanti, lūdzam precizēt noteikumu projektu tā, lai komercdarbības atbalsta normas, t.sk. Komisijas regulas Nr.2023/2831 nosacījumi tiktu attiecināti arī uz komersantiem. Gadījumā, ja ir plānots, ka 6.1.apakšpunktā minētajiem komersantiem atbalstu no publiskiem līdzekļiem sniegs kāds cits subjekts, nevis MK noteikumu projekta 5.punktā minētā Aģentūra, lūdzam precizēt MK noteikumu projektu tā, lai būtu skaidrs, kas būs atbalsta piešķīrējs šiem subjektiem un kā tas nodrošinās korektu komercdarbības atbalsta nosacījumu piemērošanu. Ar atbilstošu skaidrojumu lūdzam papildināt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gūtu pārliecību, ka saņemtais atbalsts tiek novirzīts investīciju projekta mērķim, lūdzam noteikumu projekta 6.1.apakšpunktu papildināt ar vārdiem “investīciju projekta līdzfinansēšanai”.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Ja pirmās atlases kārtas ietvaros šo noteikumu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minētais finansējums nav izmantots atbalsta saņēmējiem pilnā apmērā, Aģentūra ne vēlāk kā viena mēneša laikā pēc pirmās projektu atlases organizē nākamo atlases kārtu un secīgi ne vēlāk kā trīs mēnešu laikā nākamās atlases kārtas pēc iepriekšējās atlases kārtas, atbilstoši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noteiktajai kārtībai.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18.punktā minēto nākamo projektu atlases kārtu organizēšanas termiņus, ņemot vērā laiku, kas nepieciešams projektu iesniegšanai, projektu vērtēšanai un lēmuma pieņemšanai, vienlaikus ievērojot to, ka lēmumu par atbalsta piešķiršanu pieņem līdz 2025.gada 30.novembrim.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Aģentūra nodrošina projektu uzraudzību, lai projekta dzīves ciklā ar saimniecisko darbību nesaistīts projekts nekļūst par tādu, kas saistīts ar saimniecisko darbību, kurai sniegtais atbalsts būtu kvalificējams kā komercdarbības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MK noteikumu projekta 5.punktā veiktās izmaiņas, kas paredz, ka pasākuma  ietvaros atbalsts var tikt sniegts arī tādiem projektiem,  kas  nekvalificējas kā ar komercdarbības atbalstu saistīti, ja projekta iesniedzējam atbalsts paredzēts darbībām, kas nav saistītas ar saimnieciskās darbības veikšanu vai tāds atbalsts, kuru piešķirot, tas neatbilst vismaz vienai komercdarbības atbalstu raksturojošajai pazīmei, lūdzam attiecīgi precizēt arī MK noteikumu projekta 27., 28. un 29.punktā ietvertos atbalsta uzraudzības nosacījumus, lai tiktu nodrošināts,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Aģentūra nodrošina projektu uzraudzību, lai projekta dzīves ciklā atbalsts ar komercdarbības atbalstu nesaistītam projektam nekļūst par tādu atbalstu, kas  būtu kvalificējams kā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Atbalsta saņēmējam visā projekta dzīves ciklā ir pienākums informēt Aģentūru, ja ar komercdarbības atbalsta sniegšanu nesaistīts projekts projekta dzīves ciklā kļūst par projektu, kuram sniegtais atbalsts būtu kvalificējams kā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ar komercdarbības atbalsta sniegšanu nesaistīts projekts projekta dzīves ciklā kļūst par projektu, kuram sniegtais atbalsts būtu kvalificējams kā komercdarbības atbalsts, atbalsta saņēmējs no finansējuma, par kuru nav saņemts nekāds komercdarbības atbalsts, atmaksā Aģentūrai nelikumīgo komercdarbības atbalstu kopā ar procentiem saskaņā ar Komercdarbības atbalsta kontroles likuma IV vai V nodaļu.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ievērojot MK noteikumu projekta 5.punktā veiktās izmaiņas, lūdzam precizēt anotācijas 1.3. sadaļā ietverto informāciju par to, ka “Atbalsts šo noteikumu ietvaros nekvalificējas ka komercdarbības atbalsts tikai tādos gadījumos, kad atbalsts, kuram plānots piemērot šajos noteikumos noteikto atbalstu, ir paredzēts darbībām, kas nav saistītas ar saimnieciskās darbības veikšanu” un, ka “Attiecīgi līdz ar Noteikumu projektu tiek paredzēts, ka atbalstu var sniegt saimnieciska rakstura projektiem, piemērojot de minimis atbalstu vai arī atbalstu, kas nav komercdarbības atbalsts nesaimnieciska rakstura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ietvaros attiecināmās šādas darbības un izmaksas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kādā laika periodā attiecināmas izmaksas, ņemot vērā noteikumu projekta 11.8.apakšpunktā norādīto atbilstības kritēriju.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100% apmērā atbalsta saņēmējiem, kam ir tieša robeža ar Krieviju vai Baltkrieviju un atbalsta saņēmējiem, kuru tranzīta nozari ietekmējusi Krievijas militārās agresija pret Ukrainu;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8.1.apakšpunkta redakciju, ņemot vērā, ka atbalsta saņēmējam, kas nav pašvaldība, nevar būt tieša robeža ar Krieviju vai Baltkrieviju. Vienlaikus aicinām pēc vārda “nozari” papildināt ar vārdu “negatīvi”.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no 50 līdz 85 % apmērā saskaņā ar pašvaldību iedzīvotāju ienākuma nodokļa summu 2023. gadā  - atbalsta intensitāte ir augstāka pašvaldībām ar zemāku iedzīvotāju ienākuma nodokļu summu pēc darba devēja deklarētās adreses.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8.2.apakšpunktā norādīts atbalsta intensitātes apmērs pašvaldībām ar zemāku iedzīvotāju ienākuma nodokļu summu pēc darba devēja deklarētās adreses, savukārt anotācijas  1.3.punka sadaļā “Atbalsta apmērs un tā piešķiršanas kārtība un kritēriji” atbalsta intensitāte sagrupēta atkarībā no ieturētās IIN summas apmēra pēc </w:t>
            </w:r>
            <w:r w:rsidR="00000000" w:rsidRPr="00000000" w:rsidDel="00000000">
              <w:rPr>
                <w:b w:val="1"/>
                <w:u w:val="single"/>
                <w:rtl w:val="0"/>
              </w:rPr>
              <w:t xml:space="preserve">darba ņēmēja</w:t>
            </w:r>
            <w:r w:rsidR="00000000" w:rsidRPr="00000000" w:rsidDel="00000000">
              <w:rPr>
                <w:rtl w:val="0"/>
              </w:rPr>
              <w:t xml:space="preserve"> deklarētās adreses. Lūdzam salāgot noteikumu projektā un anotācijā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projekta īstenošana ir uzsākta ne ātrāk kā 2023. gada 1. janvārī un tas uz projekta iesniegšanas dienu vēl atrodas īstenošanā.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ko nozīmē noteikumu projekta 11.8.apakšpunktā minētais, ka projekts uz projekta iesniegšanas dienu vēl atrodas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Ja tiek pārkāptas komercdarbības atbalstu regulējumu prasības, atbalsta saņēmējam ir pienākums atmaksāt Aģentūrai projekta ietvaros saņemto nelikumīgo komercdarbības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vienīgais komercdarbības atbalsta regulējums saskaņā ar kuru MK noteikumu projekta ietvaros tiek sniegts komercdarbības atbalsts ir Komisijas regula Nr.2023/2831, aicinām izvērtēt iespēju precizēt MK noteikumu projekta 25.punktu, piemēram,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pārkāpti Komisijas regulas Nr.2023/2831 nosacījumi, de minimis atbalsta saņēmējam ir pienākums atmaksāt Aģentūrai projekta ietvaros saņemto nelikumīgo de minimis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1.3.punkta sadaļā “Atbalsta programmas īstenošanas nosacījumi un kārtība” saistībā ar atbilstības vērtēšanas kritērijiem, precizēt atsauci uz noteikumu projekta 11.punktu.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22.08.2025. 18.13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22.08.2025. 18.13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Atzinumi_25-TA-759.docx</dc:title>
</cp:coreProperties>
</file>

<file path=docProps/custom.xml><?xml version="1.0" encoding="utf-8"?>
<Properties xmlns="http://schemas.openxmlformats.org/officeDocument/2006/custom-properties" xmlns:vt="http://schemas.openxmlformats.org/officeDocument/2006/docPropsVTypes"/>
</file>