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3. sadaļā norādītos gadus, ņemot vērā, ka šobrīd kārtējais gads ir 2026.gads.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27.03.2026.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27.03.2026.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