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22-TA-3620: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Kiberdrošības kompetenču centra 2021.–2027. gada plānošanas perioda grantu projektu ieviešanas, vadības, uzraudzības un kontroles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Šo noteikumu 5. punktā minēto pārbaudi neveic, ja projekts ir iesniegts ierobežotajā atlasē, vai, ja projekta iesnieguma iesniedzējs ir tiešās vai pastarpinātās pārvaldes iestāde, atvasināta publiska persona vai cita valsts institūcija.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atstājama šāda redakcija, ja šobrīd nav zināms, kas būs (kas var būt) iesniedzēji ierobežotā atlasē. Pārbaude 136. pantā minētajiem izslēgšanas kritērijiem nav atkarīga no atlases veida, bet gan iesniedzēja. Attiecīgi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Sporāne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Finanšu ministrija reizi pusgadā, attiecīgi līdz 1. martam un 1. septembrim, informē Ministru kabinetu par visiem šo noteikumu </w:t>
            </w:r>
            <w:r w:rsidR="00000000" w:rsidRPr="00000000" w:rsidDel="00000000">
              <w:rPr>
                <w:rtl w:val="0"/>
              </w:rPr>
              <w:t xml:space="preserve">60.</w:t>
            </w:r>
            <w:r w:rsidR="00000000" w:rsidRPr="00000000" w:rsidDel="00000000">
              <w:rPr>
                <w:rtl w:val="0"/>
              </w:rPr>
              <w:t xml:space="preserve"> punktā minētajiem gadījumiem. Ministru kabinets lemj:</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61. punktu. Vēršam uzmanību, ka atbilstoši Eiropas Kiberdrošības kompetenču centra 2021.—2027. gada plānošanas perioda grantu vadības likumam Nacionālā koordinācijas centra funkcijas pilda Aizsardzības ministrijas, kas nodrošina arī ieviešanas uzraudzību. Attiecīgi pienākums ziņot Ministru kabinetam par neatgūtajām neatbilstībām būtu nosakāms Aizsardzības ministrijai.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Lai izvērtētu, ka projekta iesnieguma iesniedzēja dalība projektu atlasē un projekts atbilst valsts drošības interesēm, aģentūra pirms projekta iesnieguma vērtēšanas uzsākšanas: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Ieteiktu pārstrukturēt noteikumus. Šajā punktā norādīta atsauce uz valsts drošības interesēm. Šobrīd  sākot no 7.1 tiek uzskaitīts, kas tiek  pārbaudīts Sodu reģistrā, savukārt par drošības interesēm veikts uzskaitījums 12.punkā.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Sporāne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pieprasa papildu informāciju no Valsts darba inspekcijas un Valsts ieņēmumu dienesta par šo Noteikumu </w:t>
            </w:r>
            <w:r w:rsidR="00000000" w:rsidRPr="00000000" w:rsidDel="00000000">
              <w:rPr>
                <w:rtl w:val="0"/>
              </w:rPr>
              <w:t xml:space="preserve">5.2.2.</w:t>
            </w:r>
            <w:r w:rsidR="00000000" w:rsidRPr="00000000" w:rsidDel="00000000">
              <w:rPr>
                <w:rtl w:val="0"/>
              </w:rPr>
              <w:t xml:space="preserve"> apakšpunktā minētajiem faktiem;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šis punkts nav papildināms arī ar 5.2.1. apakšpunktā minēto faktu.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Sporāne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pieprasa papildu informāciju no Konkurences padomes par šo noteikumu </w:t>
            </w:r>
            <w:r w:rsidR="00000000" w:rsidRPr="00000000" w:rsidDel="00000000">
              <w:rPr>
                <w:rtl w:val="0"/>
              </w:rPr>
              <w:t xml:space="preserve">5.3.</w:t>
            </w:r>
            <w:r w:rsidR="00000000" w:rsidRPr="00000000" w:rsidDel="00000000">
              <w:rPr>
                <w:rtl w:val="0"/>
              </w:rPr>
              <w:t xml:space="preserve"> apakšpunktā minētajiem faktiem.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šī punkta nepieciešamību vai precizēt anotāciju. Anotācijā norādīts, ka informācija attiecībā uz konkurences tiesību pārkāpumu izņēmumu gadījumu, kad attiecīgā institūcija, konstatējot konkurences tiesību pārkāpumu, par sadarbību iecietības programmas ietvaros projekta iesniedzēju ir atbrīvojusi no naudas soda vai naudas sodu samazinājusi, ir publiski pieejama un pārbaudāma Konkurences padomes tīmekļvietnē sadaļā “Lēmumi”.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Sporāne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projektu iesniegumu vērtēšanas kritērijus iedala: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Aicinu iekļaut arī izslēgšanas kritēriju apakšpunktu, lai apraksts par kritēriju saturu ir pilnīgs.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Sporāne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Aģentūra, veicot avansa maksājumus, ievēro nosacījumu, ka to kopsumma vienam projektam nedrīkst pārsniegt 50 % no projektam piešķirtā grantu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noteikumu projektu, nosakot kārtību un termiņu, kādā izskata un veic avansa maksājumu.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Ja pēc iesniegtās papildu informācijas izskatīšanas aģentūra kādus izdevumus, kurus finansējuma saņēmējs norādījis par attiecināmiem, atzīst par neattiecināmiem, finansējuma saņēmējam piecu darbdienu laikā no dienas, kad saņemts aģentūras lēmums par maksājuma pieprasījuma apstiprināšanu, ir tiesības vienu reizi iesniegt rakstiskus iebildumus par aģentūras atzinumu, kā arī papildu informāciju vai dokumentāciju šo izmaksu pamatojumam. Aģentūra iesniegto papildu informāciju izskata 10 darbdienu laikā no dienas, kad tā saņemta, un informē finansējuma saņēmēju par izmaksu attiecināšanu vai neattiecināšanu.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noteikumu projekta 56.punkta redakcija būtu papildināma atbilstoši vadības likuma 25., 26.punktam par turpmāku strīdus risināšanas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Legzdiņa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Ja aģentūra konstatē, ka finansējuma saņēmējs tam piešķirto grantu finansējumu, valsts budžeta līdzfinansējumu vai priekšfinansējumu (ja attiecināms) ir izlietojis nepamatoti vai neatbilstoši </w:t>
            </w:r>
            <w:r w:rsidR="00000000" w:rsidRPr="00000000" w:rsidDel="00000000">
              <w:rPr>
                <w:rtl w:val="0"/>
              </w:rPr>
              <w:t xml:space="preserve">Eiropas Kiberdrošības kompetenču centra 2021.—2027. gada plānošanas perioda grantu vadības likumā</w:t>
            </w:r>
            <w:r w:rsidR="00000000" w:rsidRPr="00000000" w:rsidDel="00000000">
              <w:rPr>
                <w:rtl w:val="0"/>
              </w:rPr>
              <w:t xml:space="preserve">,</w:t>
            </w:r>
            <w:r w:rsidR="00000000" w:rsidRPr="00000000" w:rsidDel="00000000">
              <w:rPr>
                <w:rtl w:val="0"/>
              </w:rPr>
              <w:t xml:space="preserve"> šajos noteikumos, programmas noteikumos vai projekta līgumā noteiktajam, aģentūra  samazina finansējuma saņēmējam piešķirto finansējumu nepamatoti vai neatbilstoši izlietotā finansējuma apmērā un: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projektā iekļaut kārtību, kādā ziņo un pieņem lēmumus par konstatētajām neatbilstībām.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Legzdiņa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60.3. ja nepamatoti vai neatbilstoši veiktos izdevumus nav iespējams ieturēt, un vienam projektam vienas neatbilstības dēļ nepamatoti vai neatbilstoši veikto izdevumu summa pārsniedz 250 </w:t>
            </w:r>
            <w:r w:rsidR="00000000" w:rsidRPr="00000000" w:rsidDel="00000000">
              <w:rPr>
                <w:i w:val="1"/>
                <w:rtl w:val="0"/>
              </w:rPr>
              <w:t xml:space="preserve">euro</w:t>
            </w:r>
            <w:r w:rsidR="00000000" w:rsidRPr="00000000" w:rsidDel="00000000">
              <w:rPr>
                <w:rtl w:val="0"/>
              </w:rPr>
              <w:t xml:space="preserve">, pieprasa finansējuma saņēmējam atmaksāt nepamatoti vai neatbilstoši izlietoto finansējumu, nosakot termiņu finansējuma atmaksai, kas nav mazāks par 20 dienām, papildus piemērojot projekta līgumā noteiktos soda procentus (ja attiecināms). Finansējuma saņēmējs nepamatoti vai neatbilstoši izlietoto grantu finansējumu, valsts budžeta līdzfinansējumu vai priekšfinansējumu atmaksā no saviem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noteikumu projekta 60.3.apakšpunkta redakcija būtu precizējama, ņemot vērā, ka šobrīd nav zināms, kas varētu būt potenciālie finansējuma saņēmēji ierobežotā atlasē (piemēram, ja projekta iesnieguma iesniedzējs ir tiešās pārvaldes iestāde).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Legzdiņa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Nelikumīga komercdarbības atbalsta gadījumā neatbilstoši veikto izdevumu atgūšanu veic, piemērojot </w:t>
            </w:r>
            <w:r w:rsidR="00000000" w:rsidRPr="00000000" w:rsidDel="00000000">
              <w:rPr>
                <w:rtl w:val="0"/>
              </w:rPr>
              <w:t xml:space="preserve">Komercdarbības atbalsta kontroles likuma</w:t>
            </w:r>
            <w:r w:rsidR="00000000" w:rsidRPr="00000000" w:rsidDel="00000000">
              <w:rPr>
                <w:rtl w:val="0"/>
              </w:rPr>
              <w:t xml:space="preserve"> IV. vai V. nodaļā un atbalsta programmā noteikto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Komercdarbības atbalsta kontroles likuma IV. vai V. nodaļu atgūst nelikumīgo komercdarbības atbalstu, nevis neatbilstoši veiktos izdevumus, lūdzam precizēt noteikumu projekta 66.punktu un aizstāt vārdus "neatbilstoši veikto izdevumu" ar vārdiem "nelikumīgā komercdarbības atbalsta". Vienlaikus aicinām izvērtēt, vai 66.punkts ir ietverams šajos noteikumos, ņemot vērā, ka nelikumīga komercdarbības atbalsta atgūšanas kārtība tiek regulēta ar Komercdarbības atbalsta kontroles likumu, kā arī līdzšinējā prakse ir, ka nelikumīga komercdarbības atbalsta atgūšanas norma tiek ietverta katrā atbalsta programmā, atbilstoši to specifikai un piemērojamajam komercdarbības atbalsta regulējumam.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Sarmīte Zakovska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22-TA-3620</w:t>
    </w:r>
    <w:r>
      <w:br/>
    </w:r>
    <w:r w:rsidR="00000000" w:rsidRPr="00000000" w:rsidDel="00000000">
      <w:rPr>
        <w:rtl w:val="0"/>
      </w:rPr>
      <w:t xml:space="preserve">Izdrukāts 04.12.2023. 22.19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22-TA-3620</w:t>
    </w:r>
    <w:r>
      <w:br/>
    </w:r>
    <w:r w:rsidR="00000000" w:rsidRPr="00000000" w:rsidDel="00000000">
      <w:rPr>
        <w:rtl w:val="0"/>
      </w:rPr>
      <w:t xml:space="preserve">Izdrukāts 04.12.2023. 22.19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Atzinumi_22-TA-3620.docx</dc:title>
</cp:coreProperties>
</file>

<file path=docProps/custom.xml><?xml version="1.0" encoding="utf-8"?>
<Properties xmlns="http://schemas.openxmlformats.org/officeDocument/2006/custom-properties" xmlns:vt="http://schemas.openxmlformats.org/officeDocument/2006/docPropsVTypes"/>
</file>