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tiek īstenots LIAA) projekts Nr.1.2.3.1/1/23/I/001, lūdzam anotācijā norādīt, vai plānotajiem grozījumiem ir ietekme uz īstenošanā esošo projektu, proti, vai nepieciešams veikt grozījumus vienošanās par projekta īstenošanu LIAA īstenotajam projektam.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detalizētu pamatojumu attiecībā uz naudas balvas piešķiršanas nepieciešamību. Skaidrojam, ka no anotācijā sniegtās informācijas nav skaidrs, kā šīs izmaksas veicinās pasākuma mērķa sasniegšanu, kā arī kādu iemeslu dēļ minētās izmaksas netika ieplānotās ātrāk?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2023. gada 13. jūlija noteikumu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(turpmāk - MK noteikumi) grozījumu projekts paredz  papildināt atbalstāmās darbības, tad anotācijā ir jāsniedz izvērtējums par ierosināto grozījumu ietekmi uz pasākuma mērķa un noteikto rādītāju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sadaļā 3. punktā "Regulas aizstāšana" minēto attiecībā uz 2 milj. EUR pārdali  no 1.2.1.4. pasākuma "Atbalsts tehnoloģiju pārneses sistēmas pilnveidošanai" un ka 1.2.3.1. pasākumā tiek nodrošinātas papildus 3 amata vietas eksporta veicināšanas un inovācijas moticācijas aktivitātei, kas tiek pārceltas no 1.2.1.4. pasākumā "paredzētajām amata vietām,  vēršam uzmanību, ka augstākminētā informācija neatbilst Eiropas Savienības kohēzijas politikas programmas 2021.–2027. gadam grozījumu Nr. 2 ietvaros  Ekonomikas ministrijas (turpmāk - EM) Eiropas Komisijai (turpmāk - EK) sniegtajam skaidrojumam un informācijai 1.2.3.SAM rādītāju pasē, ka finansējums no 1.2.1.4.pasākuma tiek pārdalīts uz 1.2.3.1. pasākumu, lai sniegtu lielāku atbalstu pirmsinkubācijai un inkubācijai jaunu produktu, pakalpojumu un tehnoloģiju izstrādei, tostarp divējāda lietojuma/pielietojuma Latvijas Investīciju un attīstības aģentūras (turpmāk -_LIAA) tehnoloģiju pārstāvniecībā. Plānots, ka papildus tiks atbalstīti vismaz 20 komersanti, nodrošinot gan grantu, gan nefinanšu atbalstu. Vienlaikus EM sniedza skaidrojumu, ka inkubācijas dalībnieki, kas izstrādās divējādas pielietojamības produktu vai tehnoloģiju, iztērēs aptuveni 2 reizes vairāk (vidēji 100 000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augstākminēto, aicinām EM pārskatīt šīs rindkopas redakciju, precizējot un nodalot, ka 2 milj. EUR ir attiecināmi uz papildus atbalstu biznesa inkubācijas atbalsta sadaļai, savukārt 3 amata vietas eksporta veicināšanas un inovācijas motivācijas aktivitātei ir sasaistāmas ar kopējo uz 1.2.3.1. pasākumam pārdalīto finansējumu 13.86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sadaļā "Problēmas un risinājumi"- Problēmas apraksts minēto, vēršam EM uzmanību uz nelielu neprecizitāti ar  Eiropas Savienības kohēzijas politikas programmas 2021.–2027. gadam 100.paragrāfu kontekstā ar atbalsta inovācijas un uzņēmējdarbības motivācijai atbalstāmajām darbībām, kur cita starpā minēts, ka atbalsts paredzēts nefinanšu veidā, nodrošinot pasākumus, apmācību programmas, seminārus, mārketinga aktivitātes un jaunrades veicināšanu inovācijās un uzņēmējdarbības uzsākšanas segmentā, t.sk., piešķirot godalgas. Aicinām EM, novērst šo neprecizitāti, iesniedzot priekšlikumus Eiropas Savienības kohēzijas politikas programmas 2021.–2027. gadam 3.grozījumiem.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pamata redakcijā ir norādīts, ka Finansējuma saņēmējam jāizvērtē gala labuma guvēji Eiropas Savienības fondu 2021.-2027.gada plānošanas perioda 22.panta izslēgšanas nosacījumiem. Lūdzam izvērtēt vai nav nepieciešams veikt grozījumus nosakot, ka kā izņēmumu noteikt 26.pantu, tas ir pie gala labuma guvēja pārbaudes pārbaudīt 22.panta minētos kritērijus izņemot 26.pantu, jo Eiropas Savienības fondu 2021.—2027. gada plānošanas perioda vadības likuma 26. panta kārtībā pieņemtie lēmumi nebūs saistoši finansējuma saņēmējam, kas piešķir atbalstu gala labuma guvējiem.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Vecvanaga-Borovska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projektu atlase ir noslēgusies un projekts tika iesniegts atbilstoši tā brīža MK noteikumu prasībām un spēkā esošajām regulām, lūdzam attiecībā uz MK noteikumu 70.1. apakšpunktu Anotācijā paskaidrot, ka uz projekta iesnieguma iesniegšanas brīdi spēka bija Komisijas regula Nr. 2018/1046, līdz ar to uz projekta iesnieguma brīdi tika apliecināts, ka finansējuma saņēmējs ir informēts par Komisijas regulu Nr. 2018/1046, taču atsauces uz atcelto Regulu 2018/1046 uzskata par atsaucēm uz  Regulu 2024/2509 un tās lasa saskaņā ar atbilstības tabulu Eiropas Parlamenta un Padomes Regulas 2024/2509 II pielikumā.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MK noteikumiem nepazūd informācija par to, ka tā ietvaros tiek sniegts gan finanšu, gan nefinanšu atbalsts gala labuma guvējiem, aicinām EM MK noteikumu 4.punkta ievaddaļu izteikt šāda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4.Pasākums ietver nefinanšu un finanšu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4.1.atbalsta pasākumam inovācijas motivācijas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4.2.atbalsta pasākumam biznesa inkubācijas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4.3.atbalsta pasākumam eksporta veicināšanas aktivitātēm.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18.14. finanšu atbalsta nodrošināšana 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4.3.</w:t>
            </w:r>
            <w:r w:rsidR="00000000" w:rsidRPr="00000000" w:rsidDel="00000000">
              <w:rPr>
                <w:rtl w:val="0"/>
              </w:rPr>
              <w:t xml:space="preserve">apakšpunktā minētajām aktivitātēm.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MK noteikumu 18.14. apakšpunktu, svītrojot vārdus un skaitļus "šo noteikumu 4.2. un 4.3.apakšpunktā minētajām aktivitātēm", ņemot vērā, ka atbilstoši noteikumu projektā plānotajiem grozījumiem finanšu atbalsts nodrošināms arī MK noteikumu 4.1. apakšpunktā minētajās aktivitātēs.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24-TA-2710</w:t>
    </w:r>
    <w:r>
      <w:br/>
    </w:r>
    <w:r w:rsidR="00000000" w:rsidRPr="00000000" w:rsidDel="00000000">
      <w:rPr>
        <w:rtl w:val="0"/>
      </w:rPr>
      <w:t xml:space="preserve">Izdrukāts 22.11.2024.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24-TA-2710</w:t>
    </w:r>
    <w:r>
      <w:br/>
    </w:r>
    <w:r w:rsidR="00000000" w:rsidRPr="00000000" w:rsidDel="00000000">
      <w:rPr>
        <w:rtl w:val="0"/>
      </w:rPr>
      <w:t xml:space="preserve">Izdrukāts 22.11.2024.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Atzinumi_24-TA-2710.docx</dc:title>
</cp:coreProperties>
</file>

<file path=docProps/custom.xml><?xml version="1.0" encoding="utf-8"?>
<Properties xmlns="http://schemas.openxmlformats.org/officeDocument/2006/custom-properties" xmlns:vt="http://schemas.openxmlformats.org/officeDocument/2006/docPropsVTypes"/>
</file>