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4E86AF" w14:textId="77777777" w:rsidR="00920810" w:rsidRDefault="00000000">
      <w:pPr>
        <w:spacing w:before="240" w:after="240"/>
        <w:rPr>
          <w:b/>
          <w:sz w:val="28"/>
        </w:rPr>
      </w:pPr>
      <w:r>
        <w:rPr>
          <w:b/>
          <w:sz w:val="28"/>
        </w:rPr>
        <w:t>24-TA-969: Noteikumu projekts (Grozījumi)</w:t>
      </w:r>
    </w:p>
    <w:p w14:paraId="4A91E468" w14:textId="77777777" w:rsidR="00920810" w:rsidRDefault="00000000">
      <w:pPr>
        <w:pStyle w:val="titleparagraph"/>
        <w:contextualSpacing w:val="0"/>
      </w:pPr>
      <w:r>
        <w:t>Grozījumi Ministru kabineta 2015. gada 26. maija noteikumos Nr. 259 "Atbalsta piešķiršanas kārtība dalībai starptautiskās sadarbības programmās pētniecības un tehnoloģiju jomā"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920810" w14:paraId="5C2193BA" w14:textId="77777777" w:rsidTr="00681E12">
        <w:tc>
          <w:tcPr>
            <w:tcW w:w="1015" w:type="dxa"/>
            <w:shd w:val="clear" w:color="auto" w:fill="FFFFFF"/>
            <w:noWrap/>
            <w:tcMar>
              <w:top w:w="75" w:type="dxa"/>
              <w:left w:w="75" w:type="dxa"/>
              <w:bottom w:w="75" w:type="dxa"/>
              <w:right w:w="75" w:type="dxa"/>
            </w:tcMar>
            <w:vAlign w:val="center"/>
          </w:tcPr>
          <w:p w14:paraId="59F434C9" w14:textId="77777777" w:rsidR="00920810" w:rsidRDefault="00000000">
            <w:pPr>
              <w:jc w:val="center"/>
              <w:rPr>
                <w:b/>
              </w:rPr>
            </w:pPr>
            <w:r>
              <w:rPr>
                <w:b/>
              </w:rPr>
              <w:t>Nr.p.k.</w:t>
            </w:r>
          </w:p>
        </w:tc>
        <w:tc>
          <w:tcPr>
            <w:tcW w:w="3388" w:type="dxa"/>
            <w:shd w:val="clear" w:color="auto" w:fill="FFFFFF"/>
            <w:noWrap/>
            <w:tcMar>
              <w:top w:w="75" w:type="dxa"/>
              <w:left w:w="75" w:type="dxa"/>
              <w:bottom w:w="75" w:type="dxa"/>
              <w:right w:w="75" w:type="dxa"/>
            </w:tcMar>
            <w:vAlign w:val="center"/>
          </w:tcPr>
          <w:p w14:paraId="0899D60B" w14:textId="77777777" w:rsidR="00920810" w:rsidRDefault="00000000">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10B5215E" w14:textId="77777777" w:rsidR="00920810" w:rsidRDefault="00000000">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0FCDBD90" w14:textId="77777777" w:rsidR="00920810" w:rsidRDefault="00000000">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62EDE972" w14:textId="77777777" w:rsidR="00920810" w:rsidRDefault="00000000">
            <w:pPr>
              <w:jc w:val="center"/>
              <w:rPr>
                <w:b/>
              </w:rPr>
            </w:pPr>
            <w:r>
              <w:rPr>
                <w:b/>
              </w:rPr>
              <w:t>Galīgā redakcija</w:t>
            </w:r>
          </w:p>
        </w:tc>
      </w:tr>
      <w:tr w:rsidR="00920810" w14:paraId="54380BAC" w14:textId="77777777" w:rsidTr="00681E12">
        <w:tc>
          <w:tcPr>
            <w:tcW w:w="14567" w:type="dxa"/>
            <w:gridSpan w:val="5"/>
            <w:tcBorders>
              <w:left w:val="nil"/>
              <w:right w:val="nil"/>
            </w:tcBorders>
            <w:shd w:val="clear" w:color="auto" w:fill="FFFFFF"/>
            <w:noWrap/>
            <w:tcMar>
              <w:top w:w="75" w:type="dxa"/>
              <w:left w:w="75" w:type="dxa"/>
              <w:bottom w:w="75" w:type="dxa"/>
              <w:right w:w="75" w:type="dxa"/>
            </w:tcMar>
            <w:vAlign w:val="center"/>
          </w:tcPr>
          <w:p w14:paraId="0F2D3432" w14:textId="77777777" w:rsidR="00920810" w:rsidRDefault="00000000">
            <w:pPr>
              <w:spacing w:before="240" w:after="240"/>
              <w:rPr>
                <w:b/>
                <w:sz w:val="28"/>
              </w:rPr>
            </w:pPr>
            <w:r>
              <w:rPr>
                <w:b/>
                <w:sz w:val="28"/>
              </w:rPr>
              <w:t>1.0 Likumi.lv (13.05.2023.)</w:t>
            </w:r>
          </w:p>
        </w:tc>
      </w:tr>
      <w:tr w:rsidR="00920810" w14:paraId="155511B7" w14:textId="77777777" w:rsidTr="00681E12">
        <w:tc>
          <w:tcPr>
            <w:tcW w:w="1015" w:type="dxa"/>
            <w:shd w:val="clear" w:color="auto" w:fill="FFFFFF"/>
            <w:noWrap/>
            <w:tcMar>
              <w:top w:w="75" w:type="dxa"/>
              <w:left w:w="75" w:type="dxa"/>
              <w:bottom w:w="75" w:type="dxa"/>
              <w:right w:w="75" w:type="dxa"/>
            </w:tcMar>
          </w:tcPr>
          <w:p w14:paraId="0524B774" w14:textId="77777777" w:rsidR="00920810" w:rsidRDefault="00000000">
            <w:r>
              <w:t>1.</w:t>
            </w:r>
          </w:p>
        </w:tc>
        <w:tc>
          <w:tcPr>
            <w:tcW w:w="3388" w:type="dxa"/>
            <w:shd w:val="clear" w:color="auto" w:fill="FFFFFF"/>
            <w:noWrap/>
            <w:tcMar>
              <w:top w:w="75" w:type="dxa"/>
              <w:left w:w="75" w:type="dxa"/>
              <w:bottom w:w="75" w:type="dxa"/>
              <w:right w:w="75" w:type="dxa"/>
            </w:tcMar>
          </w:tcPr>
          <w:p w14:paraId="329639C9" w14:textId="255D05BD" w:rsidR="004E70B7" w:rsidRDefault="00BF3A05" w:rsidP="004E70B7">
            <w:pPr>
              <w:spacing w:after="240"/>
              <w:rPr>
                <w:b/>
              </w:rPr>
            </w:pPr>
            <w:r>
              <w:rPr>
                <w:b/>
              </w:rPr>
              <w:t>MK n</w:t>
            </w:r>
            <w:r w:rsidR="004E70B7">
              <w:rPr>
                <w:b/>
              </w:rPr>
              <w:t xml:space="preserve">oteikumu </w:t>
            </w:r>
            <w:r w:rsidRPr="00BF3A05">
              <w:rPr>
                <w:b/>
                <w:bCs/>
                <w:szCs w:val="24"/>
              </w:rPr>
              <w:t>13. punkt</w:t>
            </w:r>
            <w:r w:rsidRPr="00BF3A05">
              <w:rPr>
                <w:b/>
                <w:bCs/>
                <w:szCs w:val="24"/>
              </w:rPr>
              <w:t>s</w:t>
            </w:r>
            <w:r>
              <w:rPr>
                <w:b/>
                <w:bCs/>
                <w:szCs w:val="24"/>
              </w:rPr>
              <w:t xml:space="preserve">, </w:t>
            </w:r>
            <w:r w:rsidRPr="00BF3A05">
              <w:rPr>
                <w:b/>
                <w:bCs/>
                <w:szCs w:val="24"/>
              </w:rPr>
              <w:t>13.1.1.1.1–13.1.1.1.3 apakšpunkt</w:t>
            </w:r>
            <w:r w:rsidRPr="00BF3A05">
              <w:rPr>
                <w:b/>
                <w:bCs/>
                <w:szCs w:val="24"/>
              </w:rPr>
              <w:t>s</w:t>
            </w:r>
          </w:p>
          <w:p w14:paraId="1BB41CD6" w14:textId="73A97A85" w:rsidR="00920810" w:rsidRDefault="00920810" w:rsidP="004E70B7"/>
        </w:tc>
        <w:tc>
          <w:tcPr>
            <w:tcW w:w="3388" w:type="dxa"/>
            <w:shd w:val="clear" w:color="auto" w:fill="FFFFFF"/>
            <w:noWrap/>
            <w:tcMar>
              <w:top w:w="75" w:type="dxa"/>
              <w:left w:w="75" w:type="dxa"/>
              <w:bottom w:w="75" w:type="dxa"/>
              <w:right w:w="75" w:type="dxa"/>
            </w:tcMar>
          </w:tcPr>
          <w:p w14:paraId="4A6F27BD" w14:textId="64FE10C8" w:rsidR="004E70B7" w:rsidRDefault="004E70B7" w:rsidP="004138B1">
            <w:pPr>
              <w:spacing w:after="240"/>
              <w:rPr>
                <w:b/>
              </w:rPr>
            </w:pPr>
            <w:r>
              <w:rPr>
                <w:b/>
              </w:rPr>
              <w:t>Iebildums (</w:t>
            </w:r>
            <w:r w:rsidR="004138B1" w:rsidRPr="004138B1">
              <w:rPr>
                <w:b/>
              </w:rPr>
              <w:t>Valsts zinātnisko institūtu asociācija</w:t>
            </w:r>
            <w:r>
              <w:rPr>
                <w:b/>
              </w:rPr>
              <w:t xml:space="preserve">- </w:t>
            </w:r>
            <w:r w:rsidR="004138B1">
              <w:rPr>
                <w:b/>
              </w:rPr>
              <w:t>06</w:t>
            </w:r>
            <w:r>
              <w:rPr>
                <w:b/>
              </w:rPr>
              <w:t>.0</w:t>
            </w:r>
            <w:r w:rsidR="004138B1">
              <w:rPr>
                <w:b/>
              </w:rPr>
              <w:t>2</w:t>
            </w:r>
            <w:r>
              <w:rPr>
                <w:b/>
              </w:rPr>
              <w:t>.2024.)</w:t>
            </w:r>
          </w:p>
          <w:p w14:paraId="1A99B636" w14:textId="77777777" w:rsidR="004E70B7" w:rsidRPr="003F4173" w:rsidRDefault="004E70B7" w:rsidP="004E70B7">
            <w:pPr>
              <w:spacing w:after="120"/>
              <w:ind w:firstLine="567"/>
              <w:rPr>
                <w:szCs w:val="24"/>
              </w:rPr>
            </w:pPr>
            <w:r w:rsidRPr="003F4173">
              <w:rPr>
                <w:szCs w:val="24"/>
              </w:rPr>
              <w:t xml:space="preserve">13. punktā ir atrunātas attiecināmās izmaksas Latvijas dalībniekiem Eiropas Savienības programmu projektos. </w:t>
            </w:r>
          </w:p>
          <w:p w14:paraId="15F00485" w14:textId="77777777" w:rsidR="004E70B7" w:rsidRPr="003F4173" w:rsidRDefault="004E70B7" w:rsidP="004E70B7">
            <w:pPr>
              <w:spacing w:after="120"/>
              <w:ind w:firstLine="567"/>
              <w:rPr>
                <w:szCs w:val="24"/>
              </w:rPr>
            </w:pPr>
            <w:r w:rsidRPr="003F4173">
              <w:rPr>
                <w:szCs w:val="24"/>
              </w:rPr>
              <w:t>Noteikumu 13.1.1.1. apakšpunktā minētās projekta izpildē nodarbinātā personāla izmaksas</w:t>
            </w:r>
            <w:r>
              <w:rPr>
                <w:szCs w:val="24"/>
              </w:rPr>
              <w:t xml:space="preserve"> definē</w:t>
            </w:r>
            <w:r w:rsidRPr="003F4173">
              <w:rPr>
                <w:szCs w:val="24"/>
              </w:rPr>
              <w:t xml:space="preserve"> šādas atalgojuma likmes, neskaitot darba devēja valsts sociālās apdrošināšanas obligātās iemaksas:</w:t>
            </w:r>
          </w:p>
          <w:p w14:paraId="33EA200F" w14:textId="77777777" w:rsidR="004E70B7" w:rsidRPr="003F4173" w:rsidRDefault="004E70B7" w:rsidP="004E70B7">
            <w:pPr>
              <w:pStyle w:val="ListParagraph"/>
              <w:numPr>
                <w:ilvl w:val="0"/>
                <w:numId w:val="1"/>
              </w:numPr>
              <w:spacing w:after="120"/>
              <w:ind w:left="993"/>
              <w:jc w:val="both"/>
              <w:rPr>
                <w:rFonts w:ascii="Times New Roman" w:hAnsi="Times New Roman" w:cs="Times New Roman"/>
                <w:sz w:val="24"/>
                <w:szCs w:val="24"/>
                <w:lang w:val="lv-LV"/>
              </w:rPr>
            </w:pPr>
            <w:r w:rsidRPr="003F4173">
              <w:rPr>
                <w:rFonts w:ascii="Times New Roman" w:hAnsi="Times New Roman" w:cs="Times New Roman"/>
                <w:sz w:val="24"/>
                <w:szCs w:val="24"/>
                <w:lang w:val="lv-LV"/>
              </w:rPr>
              <w:t xml:space="preserve">projekta zinātniskajam vadītājam – līdz </w:t>
            </w:r>
            <w:r>
              <w:rPr>
                <w:rFonts w:ascii="Times New Roman" w:hAnsi="Times New Roman" w:cs="Times New Roman"/>
                <w:sz w:val="24"/>
                <w:szCs w:val="24"/>
                <w:lang w:val="lv-LV"/>
              </w:rPr>
              <w:t>3</w:t>
            </w:r>
            <w:r w:rsidRPr="003F4173">
              <w:rPr>
                <w:rFonts w:ascii="Times New Roman" w:hAnsi="Times New Roman" w:cs="Times New Roman"/>
                <w:sz w:val="24"/>
                <w:szCs w:val="24"/>
                <w:lang w:val="lv-LV"/>
              </w:rPr>
              <w:t>0 e</w:t>
            </w:r>
            <w:r>
              <w:rPr>
                <w:rFonts w:ascii="Times New Roman" w:hAnsi="Times New Roman" w:cs="Times New Roman"/>
                <w:sz w:val="24"/>
                <w:szCs w:val="24"/>
                <w:lang w:val="lv-LV"/>
              </w:rPr>
              <w:t>i</w:t>
            </w:r>
            <w:r w:rsidRPr="003F4173">
              <w:rPr>
                <w:rFonts w:ascii="Times New Roman" w:hAnsi="Times New Roman" w:cs="Times New Roman"/>
                <w:sz w:val="24"/>
                <w:szCs w:val="24"/>
                <w:lang w:val="lv-LV"/>
              </w:rPr>
              <w:t>ro stundā;</w:t>
            </w:r>
          </w:p>
          <w:p w14:paraId="37DCACB3" w14:textId="77777777" w:rsidR="004E70B7" w:rsidRPr="003F4173" w:rsidRDefault="004E70B7" w:rsidP="004E70B7">
            <w:pPr>
              <w:pStyle w:val="ListParagraph"/>
              <w:numPr>
                <w:ilvl w:val="0"/>
                <w:numId w:val="1"/>
              </w:numPr>
              <w:spacing w:after="120"/>
              <w:ind w:left="993"/>
              <w:jc w:val="both"/>
              <w:rPr>
                <w:rFonts w:ascii="Times New Roman" w:hAnsi="Times New Roman" w:cs="Times New Roman"/>
                <w:sz w:val="24"/>
                <w:szCs w:val="24"/>
                <w:lang w:val="lv-LV"/>
              </w:rPr>
            </w:pPr>
            <w:r w:rsidRPr="003F4173">
              <w:rPr>
                <w:rFonts w:ascii="Times New Roman" w:hAnsi="Times New Roman" w:cs="Times New Roman"/>
                <w:sz w:val="24"/>
                <w:szCs w:val="24"/>
                <w:lang w:val="lv-LV"/>
              </w:rPr>
              <w:lastRenderedPageBreak/>
              <w:t xml:space="preserve">projekta galvenajam izpildītājam – līdz </w:t>
            </w:r>
            <w:r>
              <w:rPr>
                <w:rFonts w:ascii="Times New Roman" w:hAnsi="Times New Roman" w:cs="Times New Roman"/>
                <w:sz w:val="24"/>
                <w:szCs w:val="24"/>
                <w:lang w:val="lv-LV"/>
              </w:rPr>
              <w:t>24</w:t>
            </w:r>
            <w:r w:rsidRPr="003F4173">
              <w:rPr>
                <w:rFonts w:ascii="Times New Roman" w:hAnsi="Times New Roman" w:cs="Times New Roman"/>
                <w:sz w:val="24"/>
                <w:szCs w:val="24"/>
                <w:lang w:val="lv-LV"/>
              </w:rPr>
              <w:t xml:space="preserve"> e</w:t>
            </w:r>
            <w:r>
              <w:rPr>
                <w:rFonts w:ascii="Times New Roman" w:hAnsi="Times New Roman" w:cs="Times New Roman"/>
                <w:sz w:val="24"/>
                <w:szCs w:val="24"/>
                <w:lang w:val="lv-LV"/>
              </w:rPr>
              <w:t>i</w:t>
            </w:r>
            <w:r w:rsidRPr="003F4173">
              <w:rPr>
                <w:rFonts w:ascii="Times New Roman" w:hAnsi="Times New Roman" w:cs="Times New Roman"/>
                <w:sz w:val="24"/>
                <w:szCs w:val="24"/>
                <w:lang w:val="lv-LV"/>
              </w:rPr>
              <w:t>ro stundā;</w:t>
            </w:r>
          </w:p>
          <w:p w14:paraId="27DA3348" w14:textId="77777777" w:rsidR="004E70B7" w:rsidRDefault="004E70B7" w:rsidP="004E70B7">
            <w:pPr>
              <w:pStyle w:val="ListParagraph"/>
              <w:numPr>
                <w:ilvl w:val="0"/>
                <w:numId w:val="1"/>
              </w:numPr>
              <w:spacing w:after="120"/>
              <w:ind w:left="993"/>
              <w:jc w:val="both"/>
              <w:rPr>
                <w:rFonts w:ascii="Times New Roman" w:hAnsi="Times New Roman" w:cs="Times New Roman"/>
                <w:sz w:val="24"/>
                <w:szCs w:val="24"/>
                <w:lang w:val="lv-LV"/>
              </w:rPr>
            </w:pPr>
            <w:r w:rsidRPr="003F4173">
              <w:rPr>
                <w:rFonts w:ascii="Times New Roman" w:hAnsi="Times New Roman" w:cs="Times New Roman"/>
                <w:sz w:val="24"/>
                <w:szCs w:val="24"/>
                <w:lang w:val="lv-LV"/>
              </w:rPr>
              <w:t>projekta izpildītājam – līdz 1</w:t>
            </w:r>
            <w:r>
              <w:rPr>
                <w:rFonts w:ascii="Times New Roman" w:hAnsi="Times New Roman" w:cs="Times New Roman"/>
                <w:sz w:val="24"/>
                <w:szCs w:val="24"/>
                <w:lang w:val="lv-LV"/>
              </w:rPr>
              <w:t>9</w:t>
            </w:r>
            <w:r w:rsidRPr="003F4173">
              <w:rPr>
                <w:rFonts w:ascii="Times New Roman" w:hAnsi="Times New Roman" w:cs="Times New Roman"/>
                <w:sz w:val="24"/>
                <w:szCs w:val="24"/>
                <w:lang w:val="lv-LV"/>
              </w:rPr>
              <w:t xml:space="preserve"> e</w:t>
            </w:r>
            <w:r>
              <w:rPr>
                <w:rFonts w:ascii="Times New Roman" w:hAnsi="Times New Roman" w:cs="Times New Roman"/>
                <w:sz w:val="24"/>
                <w:szCs w:val="24"/>
                <w:lang w:val="lv-LV"/>
              </w:rPr>
              <w:t>i</w:t>
            </w:r>
            <w:r w:rsidRPr="003F4173">
              <w:rPr>
                <w:rFonts w:ascii="Times New Roman" w:hAnsi="Times New Roman" w:cs="Times New Roman"/>
                <w:sz w:val="24"/>
                <w:szCs w:val="24"/>
                <w:lang w:val="lv-LV"/>
              </w:rPr>
              <w:t>ro stundā.</w:t>
            </w:r>
          </w:p>
          <w:p w14:paraId="78EE2C57" w14:textId="77777777" w:rsidR="004E70B7" w:rsidRPr="00C07425" w:rsidRDefault="004E70B7" w:rsidP="004E70B7">
            <w:pPr>
              <w:spacing w:after="120"/>
              <w:ind w:firstLine="567"/>
              <w:rPr>
                <w:szCs w:val="24"/>
              </w:rPr>
            </w:pPr>
            <w:r w:rsidRPr="00C07425">
              <w:rPr>
                <w:szCs w:val="24"/>
              </w:rPr>
              <w:t>Vē</w:t>
            </w:r>
            <w:r>
              <w:rPr>
                <w:szCs w:val="24"/>
              </w:rPr>
              <w:t xml:space="preserve">ršam </w:t>
            </w:r>
            <w:r w:rsidRPr="00C07425">
              <w:rPr>
                <w:szCs w:val="24"/>
              </w:rPr>
              <w:t>uzmanību, ka</w:t>
            </w:r>
            <w:r>
              <w:rPr>
                <w:szCs w:val="24"/>
              </w:rPr>
              <w:t xml:space="preserve"> ne Eiropas Ietvara programmas projektu ne citu no valsts budžeta vai Eiropas struktūrfondiem finansētu pētniecības projektu noteikumos vairs netiek norādītas maksimālās atalgojuma likmes konkrētos skaitļos, tā vietā ievērojot zinātnisko institūciju pieņemto darba samaksas kārtību. Turklāt,</w:t>
            </w:r>
            <w:r w:rsidRPr="00C07425">
              <w:rPr>
                <w:szCs w:val="24"/>
              </w:rPr>
              <w:t xml:space="preserve"> </w:t>
            </w:r>
            <w:r>
              <w:rPr>
                <w:szCs w:val="24"/>
              </w:rPr>
              <w:t>kopš 2022. gada 25. janvāra, kad pēdējo reizi Noteikumos tika veikti grozījumi saistībā ar atalgojuma likmēm, ekonomiskie apstākļi valstī ir mainījušies un Noteikumos minētās likmes vairs neatbilst</w:t>
            </w:r>
            <w:r w:rsidRPr="00C07425">
              <w:rPr>
                <w:szCs w:val="24"/>
              </w:rPr>
              <w:t xml:space="preserve"> reālajai ekonomiska</w:t>
            </w:r>
            <w:r>
              <w:rPr>
                <w:szCs w:val="24"/>
              </w:rPr>
              <w:t>jai</w:t>
            </w:r>
            <w:r w:rsidRPr="00C07425">
              <w:rPr>
                <w:szCs w:val="24"/>
              </w:rPr>
              <w:t xml:space="preserve"> situācijai</w:t>
            </w:r>
            <w:r>
              <w:rPr>
                <w:szCs w:val="24"/>
              </w:rPr>
              <w:t>, proti,</w:t>
            </w:r>
            <w:r w:rsidRPr="00C07425">
              <w:rPr>
                <w:szCs w:val="24"/>
              </w:rPr>
              <w:t xml:space="preserve"> </w:t>
            </w:r>
            <w:r>
              <w:rPr>
                <w:szCs w:val="24"/>
              </w:rPr>
              <w:t>no 2</w:t>
            </w:r>
            <w:r w:rsidRPr="000A7762">
              <w:rPr>
                <w:szCs w:val="24"/>
              </w:rPr>
              <w:t>022.</w:t>
            </w:r>
            <w:r>
              <w:rPr>
                <w:szCs w:val="24"/>
              </w:rPr>
              <w:t xml:space="preserve"> </w:t>
            </w:r>
            <w:r w:rsidRPr="000A7762">
              <w:rPr>
                <w:szCs w:val="24"/>
              </w:rPr>
              <w:t>gad</w:t>
            </w:r>
            <w:r>
              <w:rPr>
                <w:szCs w:val="24"/>
              </w:rPr>
              <w:t>a sākuma</w:t>
            </w:r>
            <w:r w:rsidRPr="000A7762">
              <w:rPr>
                <w:szCs w:val="24"/>
              </w:rPr>
              <w:t xml:space="preserve"> </w:t>
            </w:r>
            <w:r>
              <w:rPr>
                <w:szCs w:val="24"/>
              </w:rPr>
              <w:t xml:space="preserve">līdz </w:t>
            </w:r>
            <w:r w:rsidRPr="000A7762">
              <w:rPr>
                <w:szCs w:val="24"/>
              </w:rPr>
              <w:t>202</w:t>
            </w:r>
            <w:r>
              <w:rPr>
                <w:szCs w:val="24"/>
              </w:rPr>
              <w:t>4</w:t>
            </w:r>
            <w:r w:rsidRPr="000A7762">
              <w:rPr>
                <w:szCs w:val="24"/>
              </w:rPr>
              <w:t>.</w:t>
            </w:r>
            <w:r>
              <w:rPr>
                <w:szCs w:val="24"/>
              </w:rPr>
              <w:t xml:space="preserve"> </w:t>
            </w:r>
            <w:r w:rsidRPr="000A7762">
              <w:rPr>
                <w:szCs w:val="24"/>
              </w:rPr>
              <w:t xml:space="preserve">gada </w:t>
            </w:r>
            <w:r>
              <w:rPr>
                <w:szCs w:val="24"/>
              </w:rPr>
              <w:t>sākumam:</w:t>
            </w:r>
          </w:p>
          <w:p w14:paraId="642807FB" w14:textId="77777777" w:rsidR="004E70B7" w:rsidRPr="000A7762" w:rsidRDefault="004E70B7" w:rsidP="004E70B7">
            <w:pPr>
              <w:pStyle w:val="ListParagraph"/>
              <w:numPr>
                <w:ilvl w:val="0"/>
                <w:numId w:val="2"/>
              </w:numPr>
              <w:spacing w:after="120"/>
              <w:ind w:left="993"/>
              <w:jc w:val="both"/>
              <w:rPr>
                <w:rFonts w:ascii="Times New Roman" w:hAnsi="Times New Roman" w:cs="Times New Roman"/>
                <w:sz w:val="24"/>
                <w:szCs w:val="24"/>
                <w:lang w:val="lv-LV"/>
              </w:rPr>
            </w:pPr>
            <w:r w:rsidRPr="000A7762">
              <w:rPr>
                <w:rFonts w:ascii="Times New Roman" w:hAnsi="Times New Roman" w:cs="Times New Roman"/>
                <w:sz w:val="24"/>
                <w:szCs w:val="24"/>
                <w:lang w:val="lv-LV"/>
              </w:rPr>
              <w:t>vidējā alga Latvijā ir augusi par 19%</w:t>
            </w:r>
            <w:r w:rsidRPr="000A7762">
              <w:rPr>
                <w:rStyle w:val="FootnoteReference"/>
                <w:rFonts w:ascii="Times New Roman" w:hAnsi="Times New Roman" w:cs="Times New Roman"/>
                <w:sz w:val="24"/>
                <w:szCs w:val="24"/>
                <w:lang w:val="lv-LV"/>
              </w:rPr>
              <w:footnoteReference w:id="1"/>
            </w:r>
            <w:r w:rsidRPr="000A7762">
              <w:rPr>
                <w:rFonts w:ascii="Times New Roman" w:hAnsi="Times New Roman" w:cs="Times New Roman"/>
                <w:sz w:val="24"/>
                <w:szCs w:val="24"/>
                <w:lang w:val="lv-LV"/>
              </w:rPr>
              <w:t>;</w:t>
            </w:r>
          </w:p>
          <w:p w14:paraId="6EC7041E" w14:textId="77777777" w:rsidR="004E70B7" w:rsidRPr="003F4173" w:rsidRDefault="004E70B7" w:rsidP="004E70B7">
            <w:pPr>
              <w:pStyle w:val="ListParagraph"/>
              <w:numPr>
                <w:ilvl w:val="0"/>
                <w:numId w:val="2"/>
              </w:numPr>
              <w:spacing w:after="120"/>
              <w:ind w:left="993"/>
              <w:jc w:val="both"/>
              <w:rPr>
                <w:rFonts w:ascii="Times New Roman" w:hAnsi="Times New Roman" w:cs="Times New Roman"/>
                <w:sz w:val="24"/>
                <w:szCs w:val="24"/>
                <w:lang w:val="lv-LV"/>
              </w:rPr>
            </w:pPr>
            <w:r w:rsidRPr="003F4173">
              <w:rPr>
                <w:rFonts w:ascii="Times New Roman" w:hAnsi="Times New Roman" w:cs="Times New Roman"/>
                <w:sz w:val="24"/>
                <w:szCs w:val="24"/>
                <w:lang w:val="lv-LV"/>
              </w:rPr>
              <w:t xml:space="preserve">minimālā alga Latvijā ir augusi par </w:t>
            </w:r>
            <w:r>
              <w:rPr>
                <w:rFonts w:ascii="Times New Roman" w:hAnsi="Times New Roman" w:cs="Times New Roman"/>
                <w:sz w:val="24"/>
                <w:szCs w:val="24"/>
                <w:lang w:val="lv-LV"/>
              </w:rPr>
              <w:t>40</w:t>
            </w:r>
            <w:r w:rsidRPr="003F4173">
              <w:rPr>
                <w:rFonts w:ascii="Times New Roman" w:hAnsi="Times New Roman" w:cs="Times New Roman"/>
                <w:sz w:val="24"/>
                <w:szCs w:val="24"/>
                <w:lang w:val="lv-LV"/>
              </w:rPr>
              <w:t>%</w:t>
            </w:r>
            <w:r w:rsidRPr="003F4173">
              <w:rPr>
                <w:rFonts w:ascii="Times New Roman" w:hAnsi="Times New Roman" w:cs="Times New Roman"/>
                <w:sz w:val="24"/>
                <w:szCs w:val="24"/>
                <w:vertAlign w:val="superscript"/>
                <w:lang w:val="lv-LV"/>
              </w:rPr>
              <w:t>1</w:t>
            </w:r>
            <w:r w:rsidRPr="003F4173">
              <w:rPr>
                <w:rFonts w:ascii="Times New Roman" w:hAnsi="Times New Roman" w:cs="Times New Roman"/>
                <w:sz w:val="24"/>
                <w:szCs w:val="24"/>
                <w:lang w:val="lv-LV"/>
              </w:rPr>
              <w:t>;</w:t>
            </w:r>
          </w:p>
          <w:p w14:paraId="63F5EE3B" w14:textId="77777777" w:rsidR="004E70B7" w:rsidRDefault="004E70B7" w:rsidP="004E70B7">
            <w:pPr>
              <w:pStyle w:val="ListParagraph"/>
              <w:numPr>
                <w:ilvl w:val="0"/>
                <w:numId w:val="2"/>
              </w:numPr>
              <w:spacing w:after="120"/>
              <w:ind w:left="993"/>
              <w:jc w:val="both"/>
              <w:rPr>
                <w:rFonts w:ascii="Times New Roman" w:hAnsi="Times New Roman" w:cs="Times New Roman"/>
                <w:sz w:val="24"/>
                <w:szCs w:val="24"/>
                <w:lang w:val="lv-LV"/>
              </w:rPr>
            </w:pPr>
            <w:r w:rsidRPr="000A7762">
              <w:rPr>
                <w:rFonts w:ascii="Times New Roman" w:hAnsi="Times New Roman" w:cs="Times New Roman"/>
                <w:sz w:val="24"/>
                <w:szCs w:val="24"/>
                <w:lang w:val="lv-LV"/>
              </w:rPr>
              <w:lastRenderedPageBreak/>
              <w:t xml:space="preserve">iekšzemes kopprodukts Latvijā faktiskajās cenās </w:t>
            </w:r>
            <w:r>
              <w:rPr>
                <w:rFonts w:ascii="Times New Roman" w:hAnsi="Times New Roman" w:cs="Times New Roman"/>
                <w:sz w:val="24"/>
                <w:szCs w:val="24"/>
                <w:lang w:val="lv-LV"/>
              </w:rPr>
              <w:t xml:space="preserve">palielinājies </w:t>
            </w:r>
            <w:r w:rsidRPr="000A7762">
              <w:rPr>
                <w:rFonts w:ascii="Times New Roman" w:hAnsi="Times New Roman" w:cs="Times New Roman"/>
                <w:sz w:val="24"/>
                <w:szCs w:val="24"/>
                <w:lang w:val="lv-LV"/>
              </w:rPr>
              <w:t>par 27%</w:t>
            </w:r>
            <w:r w:rsidRPr="000A7762">
              <w:rPr>
                <w:rStyle w:val="FootnoteReference"/>
                <w:rFonts w:ascii="Times New Roman" w:hAnsi="Times New Roman" w:cs="Times New Roman"/>
                <w:sz w:val="24"/>
                <w:szCs w:val="24"/>
                <w:lang w:val="lv-LV"/>
              </w:rPr>
              <w:footnoteReference w:id="2"/>
            </w:r>
            <w:r w:rsidRPr="000A7762">
              <w:rPr>
                <w:rFonts w:ascii="Times New Roman" w:hAnsi="Times New Roman" w:cs="Times New Roman"/>
                <w:sz w:val="24"/>
                <w:szCs w:val="24"/>
                <w:lang w:val="lv-LV"/>
              </w:rPr>
              <w:t>;</w:t>
            </w:r>
          </w:p>
          <w:p w14:paraId="6CC126AC" w14:textId="77777777" w:rsidR="004E70B7" w:rsidRPr="00C72BF5" w:rsidRDefault="004E70B7" w:rsidP="004E70B7">
            <w:pPr>
              <w:pStyle w:val="ListParagraph"/>
              <w:numPr>
                <w:ilvl w:val="0"/>
                <w:numId w:val="2"/>
              </w:numPr>
              <w:spacing w:after="120"/>
              <w:ind w:left="993"/>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inflācija Latvijā </w:t>
            </w:r>
            <w:r w:rsidRPr="00C72BF5">
              <w:rPr>
                <w:rFonts w:ascii="Times New Roman" w:hAnsi="Times New Roman" w:cs="Times New Roman"/>
                <w:sz w:val="24"/>
                <w:szCs w:val="24"/>
                <w:lang w:val="lv-LV"/>
              </w:rPr>
              <w:t xml:space="preserve">ir </w:t>
            </w:r>
            <w:r>
              <w:rPr>
                <w:rFonts w:ascii="Times New Roman" w:hAnsi="Times New Roman" w:cs="Times New Roman"/>
                <w:sz w:val="24"/>
                <w:szCs w:val="24"/>
                <w:lang w:val="lv-LV"/>
              </w:rPr>
              <w:t>bijusi 21,6</w:t>
            </w:r>
            <w:r w:rsidRPr="000A7762">
              <w:rPr>
                <w:rFonts w:ascii="Times New Roman" w:hAnsi="Times New Roman" w:cs="Times New Roman"/>
                <w:sz w:val="24"/>
                <w:szCs w:val="24"/>
                <w:lang w:val="lv-LV"/>
              </w:rPr>
              <w:t>%</w:t>
            </w:r>
            <w:r w:rsidRPr="000A7762">
              <w:rPr>
                <w:rStyle w:val="FootnoteReference"/>
                <w:rFonts w:ascii="Times New Roman" w:hAnsi="Times New Roman" w:cs="Times New Roman"/>
                <w:sz w:val="24"/>
                <w:szCs w:val="24"/>
                <w:lang w:val="lv-LV"/>
              </w:rPr>
              <w:footnoteReference w:id="3"/>
            </w:r>
            <w:r>
              <w:rPr>
                <w:rFonts w:ascii="Times New Roman" w:hAnsi="Times New Roman" w:cs="Times New Roman"/>
                <w:sz w:val="24"/>
                <w:szCs w:val="24"/>
                <w:lang w:val="lv-LV"/>
              </w:rPr>
              <w:t>.</w:t>
            </w:r>
          </w:p>
          <w:p w14:paraId="48F57B23" w14:textId="77777777" w:rsidR="004E70B7" w:rsidRPr="0088188E" w:rsidRDefault="004E70B7" w:rsidP="004E70B7">
            <w:pPr>
              <w:spacing w:after="120"/>
              <w:rPr>
                <w:b/>
                <w:color w:val="FF0000"/>
                <w:szCs w:val="24"/>
              </w:rPr>
            </w:pPr>
            <w:r w:rsidRPr="003F4173">
              <w:rPr>
                <w:szCs w:val="24"/>
              </w:rPr>
              <w:t xml:space="preserve">           Lai </w:t>
            </w:r>
            <w:r>
              <w:rPr>
                <w:szCs w:val="24"/>
              </w:rPr>
              <w:t>zinātniskās institūcijas</w:t>
            </w:r>
            <w:r w:rsidRPr="003F4173">
              <w:rPr>
                <w:szCs w:val="24"/>
              </w:rPr>
              <w:t xml:space="preserve"> spētu projektu izpildē piesaistīt atbilstošas kvalifikācijas speciālistus, kā arī </w:t>
            </w:r>
            <w:r>
              <w:rPr>
                <w:szCs w:val="24"/>
              </w:rPr>
              <w:t xml:space="preserve">lai </w:t>
            </w:r>
            <w:r w:rsidRPr="003F4173">
              <w:rPr>
                <w:szCs w:val="24"/>
              </w:rPr>
              <w:t>motivētu organizācijas iesaistīties starptautiskos pētniecības, inovāciju, tehnoloģiju attīstības un demonstrācijas programmu projektos, tād</w:t>
            </w:r>
            <w:r>
              <w:rPr>
                <w:szCs w:val="24"/>
              </w:rPr>
              <w:t>ē</w:t>
            </w:r>
            <w:r w:rsidRPr="003F4173">
              <w:rPr>
                <w:szCs w:val="24"/>
              </w:rPr>
              <w:t xml:space="preserve">jādi Latvijai piesaistot lielāku starptautisko organizāciju finansējumu, lūdzam Izglītības un zinātnes ministriju rosināt grozījumus </w:t>
            </w:r>
            <w:r>
              <w:rPr>
                <w:szCs w:val="24"/>
              </w:rPr>
              <w:t xml:space="preserve">Noteikumos. Aicinām svītrot </w:t>
            </w:r>
            <w:r w:rsidRPr="003F4173">
              <w:rPr>
                <w:szCs w:val="24"/>
              </w:rPr>
              <w:t>13.1.</w:t>
            </w:r>
            <w:r>
              <w:rPr>
                <w:szCs w:val="24"/>
              </w:rPr>
              <w:t xml:space="preserve">1.1.1–13.1.1.1.3 apakšpunktus, tā vietā norādot, ka atalgojuma likmes tiek noteiktas </w:t>
            </w:r>
            <w:r w:rsidRPr="009D2696">
              <w:rPr>
                <w:szCs w:val="24"/>
              </w:rPr>
              <w:t xml:space="preserve">atbilstoši projekta </w:t>
            </w:r>
            <w:r>
              <w:rPr>
                <w:szCs w:val="24"/>
              </w:rPr>
              <w:t xml:space="preserve">īstenotāja </w:t>
            </w:r>
            <w:r w:rsidRPr="009D2696">
              <w:rPr>
                <w:szCs w:val="24"/>
              </w:rPr>
              <w:t>atalgojuma politikai un atlīdzības likmēm.</w:t>
            </w:r>
            <w:r>
              <w:rPr>
                <w:szCs w:val="24"/>
              </w:rPr>
              <w:t xml:space="preserve"> Papildus vēršam uzmanību, ka, piemēram, attiecībā uz projektiem, kas tiek </w:t>
            </w:r>
            <w:r>
              <w:rPr>
                <w:szCs w:val="24"/>
              </w:rPr>
              <w:lastRenderedPageBreak/>
              <w:t>līdzfinansēti no ES Ietvara programmas un valsts budžeta, darba samaksas noteikšanas regulējumā ir spēkā arī ES Ietvara programmas nosacījumi.</w:t>
            </w:r>
          </w:p>
          <w:p w14:paraId="56F65997" w14:textId="21DBDF2B" w:rsidR="00920810" w:rsidRDefault="00920810"/>
        </w:tc>
        <w:tc>
          <w:tcPr>
            <w:tcW w:w="3388" w:type="dxa"/>
            <w:shd w:val="clear" w:color="auto" w:fill="FFFFFF"/>
            <w:noWrap/>
            <w:tcMar>
              <w:top w:w="75" w:type="dxa"/>
              <w:left w:w="75" w:type="dxa"/>
              <w:bottom w:w="75" w:type="dxa"/>
              <w:right w:w="75" w:type="dxa"/>
            </w:tcMar>
          </w:tcPr>
          <w:p w14:paraId="50A8BD09" w14:textId="045D2672" w:rsidR="00BF3A05" w:rsidRDefault="004138B1" w:rsidP="00BF3A05">
            <w:r>
              <w:rPr>
                <w:b/>
              </w:rPr>
              <w:lastRenderedPageBreak/>
              <w:t xml:space="preserve">Skaidrojam, </w:t>
            </w:r>
            <w:r w:rsidRPr="00BF3A05">
              <w:rPr>
                <w:bCs/>
              </w:rPr>
              <w:t>ka</w:t>
            </w:r>
            <w:r>
              <w:rPr>
                <w:b/>
              </w:rPr>
              <w:t xml:space="preserve"> </w:t>
            </w:r>
            <w:r w:rsidR="00BF3A05">
              <w:t xml:space="preserve">sniedzot viedokli savas kompetences ietvaros Latvijas Zinātnes padome </w:t>
            </w:r>
            <w:r w:rsidR="00BF3A05">
              <w:t>norāda,</w:t>
            </w:r>
            <w:r w:rsidR="00BF3A05">
              <w:t xml:space="preserve"> ka līdzšinējā prakse, slēdzot līgumus ar Eiropas Savienības pētniecības un inovācijas programmu ietvaros atbalstīto starptautisko pētniecības projektu Latvijas dalībniekiem un uzraugot šo projektu īstenošanas progresu, neuzrāda kādas būtiskas problēmas saistībā ar MK noteikumu Nr.259 13.1.1.1. apakšpunktā noteikto maksimālo stundas likmju piemērošanu pētniecības projektu izpildītajiem. Dažos gadījumos pat rodas pārsteigums par ievērojami zemākām stundas </w:t>
            </w:r>
            <w:r w:rsidR="00BF3A05">
              <w:lastRenderedPageBreak/>
              <w:t>likmēm, kas tiek piemērotas projektu īstenošanā iesaistītajiem zinātnisko institūciju darbiniekiem. Iepriekšminētajos projektos piemērotās atalgojuma likmes lielākoties  nesasniedz MK noteikumos Nr.259 noteiktās maksimālās stundas likmes. Taču skatoties nākotnē jāsaka paldies Latvijas Zinātņu akadēmijai par šī jautājuma aktualizēšanu.</w:t>
            </w:r>
          </w:p>
          <w:p w14:paraId="7468D6A3" w14:textId="29DF4C19" w:rsidR="00BF3A05" w:rsidRDefault="00BF3A05" w:rsidP="00BF3A05">
            <w:r>
              <w:t xml:space="preserve">Latvijas Zinātnes padome ir salīdzinājusi datus par zinātnisko darbinieku atalgojuma likmēm, kādas tiek piemērotas īstenojot fundamentālo un lietišķo pētījumu projektus, kā arī Valsts pētījumu programmu projektus. Būtiskas atšķirības piemērotajās atalgojuma likmēs nav konstatētas. Līdz ar to var secināt, ka dažādos pētniecības projektos (starptautiskos  vai nacionālos) iesaistītajiem zinātniskajiem darbiniekiem tiek piemērots atalgojums ievērojot principu “līdzvērtīga samaksa par līdzvērtīgu darbu” un atalgojuma apmērs  nesasniedz MK noteikumos Nr.259 noteiktās </w:t>
            </w:r>
            <w:r>
              <w:lastRenderedPageBreak/>
              <w:t xml:space="preserve">maksimālās stundas likmes. </w:t>
            </w:r>
            <w:r>
              <w:t>Ņemot vērā LZP skaidrojumu šobrīd netiks veiktas izmaiņas MK Noteikumu 13. punktā.</w:t>
            </w:r>
            <w:r>
              <w:t xml:space="preserve">  </w:t>
            </w:r>
          </w:p>
          <w:p w14:paraId="686E1915" w14:textId="74FF1948" w:rsidR="00681E12" w:rsidRDefault="00681E12" w:rsidP="00681E12">
            <w:pPr>
              <w:spacing w:after="240"/>
              <w:rPr>
                <w:b/>
              </w:rPr>
            </w:pPr>
          </w:p>
          <w:p w14:paraId="47ECF94A" w14:textId="77777777" w:rsidR="004138B1" w:rsidRDefault="004138B1" w:rsidP="00681E12">
            <w:pPr>
              <w:spacing w:after="240"/>
            </w:pPr>
          </w:p>
          <w:p w14:paraId="070C6179" w14:textId="7163E0D2" w:rsidR="00920810" w:rsidRDefault="00920810" w:rsidP="00681E12"/>
        </w:tc>
        <w:tc>
          <w:tcPr>
            <w:tcW w:w="3388" w:type="dxa"/>
            <w:shd w:val="clear" w:color="auto" w:fill="FFFFFF"/>
            <w:noWrap/>
            <w:tcMar>
              <w:top w:w="75" w:type="dxa"/>
              <w:left w:w="75" w:type="dxa"/>
              <w:bottom w:w="75" w:type="dxa"/>
              <w:right w:w="75" w:type="dxa"/>
            </w:tcMar>
          </w:tcPr>
          <w:p w14:paraId="0104198E" w14:textId="4C1F261F" w:rsidR="00920810" w:rsidRDefault="004138B1">
            <w:r>
              <w:lastRenderedPageBreak/>
              <w:t>-</w:t>
            </w:r>
          </w:p>
        </w:tc>
      </w:tr>
      <w:tr w:rsidR="00920810" w14:paraId="533A224E" w14:textId="77777777" w:rsidTr="00681E12">
        <w:tc>
          <w:tcPr>
            <w:tcW w:w="1015" w:type="dxa"/>
            <w:shd w:val="clear" w:color="auto" w:fill="FFFFFF"/>
            <w:noWrap/>
            <w:tcMar>
              <w:top w:w="75" w:type="dxa"/>
              <w:left w:w="75" w:type="dxa"/>
              <w:bottom w:w="75" w:type="dxa"/>
              <w:right w:w="75" w:type="dxa"/>
            </w:tcMar>
          </w:tcPr>
          <w:p w14:paraId="7B9544A3" w14:textId="77777777" w:rsidR="00920810" w:rsidRDefault="00000000">
            <w:r>
              <w:lastRenderedPageBreak/>
              <w:t>2.</w:t>
            </w:r>
          </w:p>
        </w:tc>
        <w:tc>
          <w:tcPr>
            <w:tcW w:w="3388" w:type="dxa"/>
            <w:shd w:val="clear" w:color="auto" w:fill="FFFFFF"/>
            <w:noWrap/>
            <w:tcMar>
              <w:top w:w="75" w:type="dxa"/>
              <w:left w:w="75" w:type="dxa"/>
              <w:bottom w:w="75" w:type="dxa"/>
              <w:right w:w="75" w:type="dxa"/>
            </w:tcMar>
          </w:tcPr>
          <w:p w14:paraId="1F0A2547" w14:textId="7F204745" w:rsidR="00035403" w:rsidRDefault="00035403" w:rsidP="00035403">
            <w:pPr>
              <w:spacing w:after="240"/>
              <w:rPr>
                <w:b/>
              </w:rPr>
            </w:pPr>
            <w:r>
              <w:rPr>
                <w:b/>
              </w:rPr>
              <w:t xml:space="preserve">MK noteikumu </w:t>
            </w:r>
            <w:r>
              <w:rPr>
                <w:b/>
                <w:bCs/>
                <w:szCs w:val="24"/>
              </w:rPr>
              <w:t>2</w:t>
            </w:r>
            <w:r w:rsidRPr="00BF3A05">
              <w:rPr>
                <w:b/>
                <w:bCs/>
                <w:szCs w:val="24"/>
              </w:rPr>
              <w:t>.</w:t>
            </w:r>
            <w:r>
              <w:rPr>
                <w:b/>
                <w:bCs/>
                <w:szCs w:val="24"/>
              </w:rPr>
              <w:t xml:space="preserve">2, 2.10 </w:t>
            </w:r>
            <w:r w:rsidRPr="00BF3A05">
              <w:rPr>
                <w:b/>
                <w:bCs/>
                <w:szCs w:val="24"/>
              </w:rPr>
              <w:t>apakšpunkt</w:t>
            </w:r>
            <w:r>
              <w:rPr>
                <w:b/>
                <w:bCs/>
                <w:szCs w:val="24"/>
              </w:rPr>
              <w:t>i</w:t>
            </w:r>
          </w:p>
          <w:p w14:paraId="7CDB2CA2" w14:textId="7972D2A8" w:rsidR="00920810" w:rsidRDefault="00920810"/>
        </w:tc>
        <w:tc>
          <w:tcPr>
            <w:tcW w:w="3388" w:type="dxa"/>
            <w:shd w:val="clear" w:color="auto" w:fill="FFFFFF"/>
            <w:noWrap/>
            <w:tcMar>
              <w:top w:w="75" w:type="dxa"/>
              <w:left w:w="75" w:type="dxa"/>
              <w:bottom w:w="75" w:type="dxa"/>
              <w:right w:w="75" w:type="dxa"/>
            </w:tcMar>
          </w:tcPr>
          <w:p w14:paraId="35E2D216" w14:textId="77777777" w:rsidR="00457FD7" w:rsidRDefault="00457FD7" w:rsidP="00457FD7">
            <w:pPr>
              <w:spacing w:after="240"/>
              <w:rPr>
                <w:b/>
              </w:rPr>
            </w:pPr>
            <w:r>
              <w:rPr>
                <w:b/>
              </w:rPr>
              <w:t>Iebildums (</w:t>
            </w:r>
            <w:r w:rsidRPr="004138B1">
              <w:rPr>
                <w:b/>
              </w:rPr>
              <w:t>Valsts zinātnisko institūtu asociācija</w:t>
            </w:r>
            <w:r>
              <w:rPr>
                <w:b/>
              </w:rPr>
              <w:t>- 06.02.2024.)</w:t>
            </w:r>
          </w:p>
          <w:p w14:paraId="6A0CC467" w14:textId="343447D0" w:rsidR="00920810" w:rsidRPr="004E70B7" w:rsidRDefault="004E70B7" w:rsidP="004E70B7">
            <w:pPr>
              <w:spacing w:after="120"/>
              <w:rPr>
                <w:szCs w:val="24"/>
              </w:rPr>
            </w:pPr>
            <w:r>
              <w:rPr>
                <w:szCs w:val="24"/>
              </w:rPr>
              <w:t xml:space="preserve">Atgādinām, ka Noteikumos ir novecojusi informācija attiecībā uz ES Ietvara programmām un to apakšprogrammām, kas saistītas ar kopuzņēmumiem. 2.2. apakšpunktā minētā </w:t>
            </w:r>
            <w:r w:rsidRPr="00AB0A48">
              <w:rPr>
                <w:szCs w:val="24"/>
              </w:rPr>
              <w:t>Eiropas Parlamenta un Padomes</w:t>
            </w:r>
            <w:r>
              <w:rPr>
                <w:szCs w:val="24"/>
              </w:rPr>
              <w:t xml:space="preserve"> 2013. gada 11. decembra Regula</w:t>
            </w:r>
            <w:r w:rsidRPr="00AB0A48">
              <w:rPr>
                <w:szCs w:val="24"/>
              </w:rPr>
              <w:t xml:space="preserve"> (ES) Nr. 1291/2013</w:t>
            </w:r>
            <w:r>
              <w:rPr>
                <w:szCs w:val="24"/>
              </w:rPr>
              <w:t xml:space="preserve"> ir atcelta un aizstāta ar </w:t>
            </w:r>
            <w:r w:rsidRPr="00AB0A48">
              <w:rPr>
                <w:szCs w:val="24"/>
              </w:rPr>
              <w:t>Eiro</w:t>
            </w:r>
            <w:r>
              <w:rPr>
                <w:szCs w:val="24"/>
              </w:rPr>
              <w:t>pas Parlamenta un Padomes Regulu</w:t>
            </w:r>
            <w:r w:rsidRPr="00AB0A48">
              <w:rPr>
                <w:szCs w:val="24"/>
              </w:rPr>
              <w:t xml:space="preserve"> (ES) 2021/695</w:t>
            </w:r>
            <w:r>
              <w:rPr>
                <w:szCs w:val="24"/>
              </w:rPr>
              <w:t xml:space="preserve">. Savukārt, </w:t>
            </w:r>
            <w:r w:rsidRPr="00E84B79">
              <w:rPr>
                <w:szCs w:val="24"/>
              </w:rPr>
              <w:t>2.10.</w:t>
            </w:r>
            <w:r>
              <w:rPr>
                <w:szCs w:val="24"/>
              </w:rPr>
              <w:t xml:space="preserve"> apakšpunktā minētā</w:t>
            </w:r>
            <w:r w:rsidRPr="00E84B79">
              <w:rPr>
                <w:szCs w:val="24"/>
              </w:rPr>
              <w:t xml:space="preserve"> Padomes 2014. gada 6. </w:t>
            </w:r>
            <w:r>
              <w:rPr>
                <w:szCs w:val="24"/>
              </w:rPr>
              <w:t>maija Regula (ES) Nr. 561/2014 ir atcelta un aizstāta ar Padomes Regulu</w:t>
            </w:r>
            <w:r w:rsidRPr="001C552A">
              <w:rPr>
                <w:szCs w:val="24"/>
              </w:rPr>
              <w:t xml:space="preserve"> (ES) 2021/2085</w:t>
            </w:r>
            <w:r>
              <w:rPr>
                <w:szCs w:val="24"/>
              </w:rPr>
              <w:t xml:space="preserve">. Ņemot vērā, ka kopuzņēmumu, kurus izveido saskaņā ar šo regulu, projekti ir ES Ietvara programmas sastāvdaļa, kas minēta Noteikumu 2.2. </w:t>
            </w:r>
            <w:r>
              <w:rPr>
                <w:szCs w:val="24"/>
              </w:rPr>
              <w:lastRenderedPageBreak/>
              <w:t>apakšpunktā, aicinām izvērtēt vai vispār ir vajadzība tos atsevišķi izdalīt, jo Noteikumu kontekstā uz tiem attiecas tie paši nosacījumi, kas uz visiem ES Ietvara programmas projektiem.</w:t>
            </w:r>
          </w:p>
        </w:tc>
        <w:tc>
          <w:tcPr>
            <w:tcW w:w="3388" w:type="dxa"/>
            <w:shd w:val="clear" w:color="auto" w:fill="FFFFFF"/>
            <w:noWrap/>
            <w:tcMar>
              <w:top w:w="75" w:type="dxa"/>
              <w:left w:w="75" w:type="dxa"/>
              <w:bottom w:w="75" w:type="dxa"/>
              <w:right w:w="75" w:type="dxa"/>
            </w:tcMar>
          </w:tcPr>
          <w:p w14:paraId="3E9BAA89" w14:textId="5B10B310" w:rsidR="00920810" w:rsidRPr="000C1CDA" w:rsidRDefault="00EC5AE5" w:rsidP="00681E12">
            <w:pPr>
              <w:spacing w:after="240"/>
              <w:rPr>
                <w:bCs/>
              </w:rPr>
            </w:pPr>
            <w:r>
              <w:rPr>
                <w:b/>
              </w:rPr>
              <w:lastRenderedPageBreak/>
              <w:t>Skaidrojam,</w:t>
            </w:r>
            <w:r>
              <w:rPr>
                <w:b/>
              </w:rPr>
              <w:t xml:space="preserve"> </w:t>
            </w:r>
            <w:r w:rsidRPr="00EC5AE5">
              <w:rPr>
                <w:bCs/>
              </w:rPr>
              <w:t>ka</w:t>
            </w:r>
            <w:r w:rsidR="000C1CDA">
              <w:rPr>
                <w:bCs/>
              </w:rPr>
              <w:t xml:space="preserve"> </w:t>
            </w:r>
            <w:r w:rsidR="000C1CDA">
              <w:rPr>
                <w:color w:val="242424"/>
                <w:shd w:val="clear" w:color="auto" w:fill="FFFFFF"/>
              </w:rPr>
              <w:t xml:space="preserve">Regula (ES) Nr. 1291/2013 </w:t>
            </w:r>
            <w:r w:rsidR="000C1CDA">
              <w:rPr>
                <w:color w:val="242424"/>
                <w:shd w:val="clear" w:color="auto" w:fill="FFFFFF"/>
              </w:rPr>
              <w:t>attiecas uz ietvarprogrammu</w:t>
            </w:r>
            <w:r w:rsidR="000C1CDA">
              <w:rPr>
                <w:color w:val="242424"/>
                <w:shd w:val="clear" w:color="auto" w:fill="FFFFFF"/>
              </w:rPr>
              <w:t xml:space="preserve"> </w:t>
            </w:r>
            <w:r w:rsidR="000C1CDA">
              <w:rPr>
                <w:color w:val="242424"/>
                <w:shd w:val="clear" w:color="auto" w:fill="FFFFFF"/>
              </w:rPr>
              <w:t xml:space="preserve">Apvārsnis </w:t>
            </w:r>
            <w:r w:rsidR="000C1CDA">
              <w:rPr>
                <w:color w:val="242424"/>
                <w:shd w:val="clear" w:color="auto" w:fill="FFFFFF"/>
              </w:rPr>
              <w:t>2020</w:t>
            </w:r>
            <w:r w:rsidR="000C1CDA">
              <w:rPr>
                <w:color w:val="242424"/>
                <w:shd w:val="clear" w:color="auto" w:fill="FFFFFF"/>
              </w:rPr>
              <w:t xml:space="preserve">, ar kuru tiek finansēti </w:t>
            </w:r>
            <w:r w:rsidR="000C1CDA">
              <w:rPr>
                <w:color w:val="242424"/>
                <w:shd w:val="clear" w:color="auto" w:fill="FFFFFF"/>
              </w:rPr>
              <w:t>ERA-NET</w:t>
            </w:r>
            <w:r w:rsidR="000C1CDA">
              <w:rPr>
                <w:color w:val="242424"/>
                <w:shd w:val="clear" w:color="auto" w:fill="FFFFFF"/>
              </w:rPr>
              <w:t xml:space="preserve"> projekti, kas vēl tiek realizēti.</w:t>
            </w:r>
            <w:r w:rsidR="000C1CDA">
              <w:rPr>
                <w:color w:val="242424"/>
                <w:shd w:val="clear" w:color="auto" w:fill="FFFFFF"/>
              </w:rPr>
              <w:t xml:space="preserve"> </w:t>
            </w:r>
            <w:r w:rsidR="000C1CDA" w:rsidRPr="000C1CDA">
              <w:rPr>
                <w:bCs/>
              </w:rPr>
              <w:t>Eiropas Parlamenta un Padomes 2013. gada 11. decembra Regulu (ES) Nr. 1291/2013  un Padomes 2014. gada 6. maija Regulu (ES) Nr. 561/2014 </w:t>
            </w:r>
            <w:r w:rsidR="000C1CDA">
              <w:rPr>
                <w:bCs/>
              </w:rPr>
              <w:t xml:space="preserve">ar šiem MK noteikumu grozījumiem </w:t>
            </w:r>
            <w:r w:rsidR="000C1CDA" w:rsidRPr="000C1CDA">
              <w:rPr>
                <w:bCs/>
              </w:rPr>
              <w:t xml:space="preserve">neaizstāsim, jo ja vēl tiek realizēti projekti (3-4 gadi pēc to darbības izbeigšanās vēl iet projekti, ERA-NET gadījumā līdz </w:t>
            </w:r>
            <w:r w:rsidR="000C1CDA">
              <w:rPr>
                <w:bCs/>
              </w:rPr>
              <w:t xml:space="preserve">pat </w:t>
            </w:r>
            <w:r w:rsidR="000C1CDA" w:rsidRPr="000C1CDA">
              <w:rPr>
                <w:bCs/>
              </w:rPr>
              <w:t>7 gadiem)</w:t>
            </w:r>
            <w:r w:rsidR="000C1CDA">
              <w:rPr>
                <w:bCs/>
              </w:rPr>
              <w:t>.</w:t>
            </w:r>
          </w:p>
        </w:tc>
        <w:tc>
          <w:tcPr>
            <w:tcW w:w="3388" w:type="dxa"/>
            <w:shd w:val="clear" w:color="auto" w:fill="FFFFFF"/>
            <w:noWrap/>
            <w:tcMar>
              <w:top w:w="75" w:type="dxa"/>
              <w:left w:w="75" w:type="dxa"/>
              <w:bottom w:w="75" w:type="dxa"/>
              <w:right w:w="75" w:type="dxa"/>
            </w:tcMar>
          </w:tcPr>
          <w:p w14:paraId="74EA1525" w14:textId="2AB25CAF" w:rsidR="00920810" w:rsidRDefault="00000000">
            <w:r>
              <w:t xml:space="preserve"> </w:t>
            </w:r>
            <w:r w:rsidR="000C1CDA">
              <w:t>-</w:t>
            </w:r>
          </w:p>
        </w:tc>
      </w:tr>
    </w:tbl>
    <w:p w14:paraId="299A3F70" w14:textId="77777777" w:rsidR="00F771F2" w:rsidRDefault="00F771F2"/>
    <w:sectPr w:rsidR="00F771F2">
      <w:headerReference w:type="default" r:id="rId7"/>
      <w:footerReference w:type="default" r:id="rId8"/>
      <w:head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FCA67" w14:textId="77777777" w:rsidR="00F771F2" w:rsidRDefault="00F771F2">
      <w:r>
        <w:separator/>
      </w:r>
    </w:p>
  </w:endnote>
  <w:endnote w:type="continuationSeparator" w:id="0">
    <w:p w14:paraId="5737066C" w14:textId="77777777" w:rsidR="00F771F2" w:rsidRDefault="00F7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9A7" w14:textId="77777777" w:rsidR="00920810" w:rsidRDefault="00000000">
    <w:pPr>
      <w:jc w:val="right"/>
    </w:pPr>
    <w:r>
      <w:rPr>
        <w:szCs w:val="24"/>
      </w:rPr>
      <w:fldChar w:fldCharType="begin"/>
    </w:r>
    <w:r>
      <w:rPr>
        <w:szCs w:val="24"/>
      </w:rPr>
      <w:instrText>PAGE</w:instrText>
    </w:r>
    <w:r w:rsidR="00681E12">
      <w:rPr>
        <w:szCs w:val="24"/>
      </w:rPr>
      <w:fldChar w:fldCharType="separate"/>
    </w:r>
    <w:r w:rsidR="00681E12">
      <w:rPr>
        <w:noProof/>
        <w:szCs w:val="24"/>
      </w:rPr>
      <w:t>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5E1C4" w14:textId="77777777" w:rsidR="00F771F2" w:rsidRDefault="00F771F2">
      <w:r>
        <w:separator/>
      </w:r>
    </w:p>
  </w:footnote>
  <w:footnote w:type="continuationSeparator" w:id="0">
    <w:p w14:paraId="36476BEA" w14:textId="77777777" w:rsidR="00F771F2" w:rsidRDefault="00F771F2">
      <w:r>
        <w:continuationSeparator/>
      </w:r>
    </w:p>
  </w:footnote>
  <w:footnote w:id="1">
    <w:p w14:paraId="0C81C1DD" w14:textId="77777777" w:rsidR="004E70B7" w:rsidRDefault="004E70B7" w:rsidP="004E70B7">
      <w:pPr>
        <w:pStyle w:val="FootnoteText"/>
      </w:pPr>
      <w:r>
        <w:rPr>
          <w:rStyle w:val="FootnoteReference"/>
        </w:rPr>
        <w:footnoteRef/>
      </w:r>
      <w:r>
        <w:t xml:space="preserve"> </w:t>
      </w:r>
      <w:hyperlink r:id="rId1" w:history="1">
        <w:r w:rsidRPr="0012069F">
          <w:rPr>
            <w:rStyle w:val="Hyperlink"/>
          </w:rPr>
          <w:t>https://data.stat.gov.lv/</w:t>
        </w:r>
      </w:hyperlink>
      <w:r>
        <w:t xml:space="preserve"> </w:t>
      </w:r>
    </w:p>
  </w:footnote>
  <w:footnote w:id="2">
    <w:p w14:paraId="68F6EE16" w14:textId="77777777" w:rsidR="004E70B7" w:rsidRDefault="004E70B7" w:rsidP="004E70B7">
      <w:pPr>
        <w:pStyle w:val="FootnoteText"/>
      </w:pPr>
      <w:r>
        <w:rPr>
          <w:rStyle w:val="FootnoteReference"/>
        </w:rPr>
        <w:footnoteRef/>
      </w:r>
      <w:r>
        <w:t xml:space="preserve"> </w:t>
      </w:r>
      <w:r>
        <w:rPr>
          <w:lang w:val="lv-LV"/>
        </w:rPr>
        <w:t xml:space="preserve">Centrālās statistika pārvaldes datubāze </w:t>
      </w:r>
    </w:p>
  </w:footnote>
  <w:footnote w:id="3">
    <w:p w14:paraId="6418A1AC" w14:textId="77777777" w:rsidR="004E70B7" w:rsidRDefault="004E70B7" w:rsidP="004E70B7">
      <w:pPr>
        <w:pStyle w:val="FootnoteText"/>
      </w:pPr>
      <w:r>
        <w:rPr>
          <w:rStyle w:val="FootnoteReference"/>
        </w:rPr>
        <w:footnoteRef/>
      </w:r>
      <w:r>
        <w:t xml:space="preserve"> </w:t>
      </w:r>
      <w:hyperlink r:id="rId2" w:history="1">
        <w:r w:rsidRPr="00050861">
          <w:rPr>
            <w:rStyle w:val="Hyperlink"/>
            <w:lang w:val="lv-LV"/>
          </w:rPr>
          <w:t>https://tools.csb.gov.lv/</w:t>
        </w:r>
      </w:hyperlink>
      <w:r>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5CBA7" w14:textId="77777777" w:rsidR="00920810" w:rsidRDefault="00000000">
    <w:pPr>
      <w:pStyle w:val="Header"/>
      <w:contextualSpacing w:val="0"/>
    </w:pPr>
    <w:r>
      <w:t>Izziņa 24-TA-969</w:t>
    </w:r>
    <w:r>
      <w:br/>
      <w:t>Izdrukāts 06.08.2024. 09.58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CC04" w14:textId="666400CF" w:rsidR="00920810" w:rsidRDefault="00000000">
    <w:pPr>
      <w:pStyle w:val="Header"/>
      <w:contextualSpacing w:val="0"/>
    </w:pPr>
    <w:r>
      <w:t>Izziņa 24-TA-969</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867B1"/>
    <w:multiLevelType w:val="hybridMultilevel"/>
    <w:tmpl w:val="9496DA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72C4258"/>
    <w:multiLevelType w:val="hybridMultilevel"/>
    <w:tmpl w:val="F77E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813202">
    <w:abstractNumId w:val="0"/>
  </w:num>
  <w:num w:numId="2" w16cid:durableId="1916084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20810"/>
    <w:rsid w:val="00035403"/>
    <w:rsid w:val="000C1CDA"/>
    <w:rsid w:val="004138B1"/>
    <w:rsid w:val="00457FD7"/>
    <w:rsid w:val="004E70B7"/>
    <w:rsid w:val="00681E12"/>
    <w:rsid w:val="007F344A"/>
    <w:rsid w:val="00920810"/>
    <w:rsid w:val="00BF3A05"/>
    <w:rsid w:val="00EC5AE5"/>
    <w:rsid w:val="00F77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32A69"/>
  <w15:docId w15:val="{BBD14DF6-A935-48D2-A13D-565EE7CF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403"/>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681E12"/>
    <w:pPr>
      <w:tabs>
        <w:tab w:val="center" w:pos="4680"/>
        <w:tab w:val="right" w:pos="9360"/>
      </w:tabs>
    </w:pPr>
  </w:style>
  <w:style w:type="character" w:customStyle="1" w:styleId="FooterChar">
    <w:name w:val="Footer Char"/>
    <w:basedOn w:val="DefaultParagraphFont"/>
    <w:link w:val="Footer"/>
    <w:uiPriority w:val="99"/>
    <w:rsid w:val="00681E12"/>
  </w:style>
  <w:style w:type="character" w:styleId="Hyperlink">
    <w:name w:val="Hyperlink"/>
    <w:basedOn w:val="DefaultParagraphFont"/>
    <w:uiPriority w:val="99"/>
    <w:unhideWhenUsed/>
    <w:rsid w:val="004E70B7"/>
    <w:rPr>
      <w:color w:val="0563C1" w:themeColor="hyperlink"/>
      <w:u w:val="single"/>
    </w:rPr>
  </w:style>
  <w:style w:type="paragraph" w:styleId="ListParagraph">
    <w:name w:val="List Paragraph"/>
    <w:basedOn w:val="Normal"/>
    <w:uiPriority w:val="34"/>
    <w:qFormat/>
    <w:rsid w:val="004E70B7"/>
    <w:pPr>
      <w:spacing w:after="160" w:line="259" w:lineRule="auto"/>
      <w:ind w:left="720"/>
      <w:contextualSpacing/>
      <w:jc w:val="left"/>
    </w:pPr>
    <w:rPr>
      <w:rFonts w:asciiTheme="minorHAnsi" w:eastAsiaTheme="minorHAnsi" w:hAnsiTheme="minorHAnsi" w:cstheme="minorBidi"/>
      <w:color w:val="auto"/>
      <w:sz w:val="22"/>
      <w:szCs w:val="22"/>
      <w:lang w:val="en-US"/>
    </w:rPr>
  </w:style>
  <w:style w:type="paragraph" w:styleId="FootnoteText">
    <w:name w:val="footnote text"/>
    <w:basedOn w:val="Normal"/>
    <w:link w:val="FootnoteTextChar"/>
    <w:uiPriority w:val="99"/>
    <w:semiHidden/>
    <w:unhideWhenUsed/>
    <w:rsid w:val="004E70B7"/>
    <w:pPr>
      <w:jc w:val="left"/>
    </w:pPr>
    <w:rPr>
      <w:rFonts w:asciiTheme="minorHAnsi" w:eastAsiaTheme="minorHAnsi" w:hAnsiTheme="minorHAnsi" w:cstheme="minorBidi"/>
      <w:color w:val="auto"/>
      <w:sz w:val="20"/>
      <w:lang w:val="en-US"/>
    </w:rPr>
  </w:style>
  <w:style w:type="character" w:customStyle="1" w:styleId="FootnoteTextChar">
    <w:name w:val="Footnote Text Char"/>
    <w:basedOn w:val="DefaultParagraphFont"/>
    <w:link w:val="FootnoteText"/>
    <w:uiPriority w:val="99"/>
    <w:semiHidden/>
    <w:rsid w:val="004E70B7"/>
    <w:rPr>
      <w:rFonts w:asciiTheme="minorHAnsi" w:eastAsiaTheme="minorHAnsi" w:hAnsiTheme="minorHAnsi" w:cstheme="minorBidi"/>
      <w:color w:val="auto"/>
      <w:sz w:val="20"/>
      <w:lang w:val="en-US"/>
    </w:rPr>
  </w:style>
  <w:style w:type="character" w:styleId="FootnoteReference">
    <w:name w:val="footnote reference"/>
    <w:basedOn w:val="DefaultParagraphFont"/>
    <w:uiPriority w:val="99"/>
    <w:semiHidden/>
    <w:unhideWhenUsed/>
    <w:rsid w:val="004E70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1151">
      <w:bodyDiv w:val="1"/>
      <w:marLeft w:val="0"/>
      <w:marRight w:val="0"/>
      <w:marTop w:val="0"/>
      <w:marBottom w:val="0"/>
      <w:divBdr>
        <w:top w:val="none" w:sz="0" w:space="0" w:color="auto"/>
        <w:left w:val="none" w:sz="0" w:space="0" w:color="auto"/>
        <w:bottom w:val="none" w:sz="0" w:space="0" w:color="auto"/>
        <w:right w:val="none" w:sz="0" w:space="0" w:color="auto"/>
      </w:divBdr>
    </w:div>
    <w:div w:id="950431547">
      <w:bodyDiv w:val="1"/>
      <w:marLeft w:val="0"/>
      <w:marRight w:val="0"/>
      <w:marTop w:val="0"/>
      <w:marBottom w:val="0"/>
      <w:divBdr>
        <w:top w:val="none" w:sz="0" w:space="0" w:color="auto"/>
        <w:left w:val="none" w:sz="0" w:space="0" w:color="auto"/>
        <w:bottom w:val="none" w:sz="0" w:space="0" w:color="auto"/>
        <w:right w:val="none" w:sz="0" w:space="0" w:color="auto"/>
      </w:divBdr>
    </w:div>
    <w:div w:id="976031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tools.csb.gov.lv/" TargetMode="External"/><Relationship Id="rId1" Type="http://schemas.openxmlformats.org/officeDocument/2006/relationships/hyperlink" Target="https://data.stat.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817</Words>
  <Characters>4661</Characters>
  <Application>Microsoft Office Word</Application>
  <DocSecurity>0</DocSecurity>
  <Lines>38</Lines>
  <Paragraphs>10</Paragraphs>
  <ScaleCrop>false</ScaleCrop>
  <Company>IZM</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Izziņa_24-TA-969.docx</dc:title>
  <cp:lastModifiedBy>Baiba Švāne-Upmale</cp:lastModifiedBy>
  <cp:revision>10</cp:revision>
  <dcterms:created xsi:type="dcterms:W3CDTF">2024-08-06T12:34:00Z</dcterms:created>
  <dcterms:modified xsi:type="dcterms:W3CDTF">2024-08-06T12:49:00Z</dcterms:modified>
</cp:coreProperties>
</file>