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specifiskā atbalsta mērķa Nr. 4.3.4. "Sekmēt aktīvu iekļaušanu, lai veicinātu vienlīdzīgas iespējas, nediskriminēšanu un aktīvu līdzdalību, kā arī uzlabotu nodarbinātību, jo īpaši attiecībā uz nelabvēlīgā situācijā esošām grupām" 4.3.4.7. pasākuma "Nodarbināmības priekšnosacījumu nodrošināšana ieslodzītajiem, pilnveidojot resocializācijas sistēmas efektivitāti, vienlaikus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personāla atlīdzības izmaksas, kas ir projekta īstenošanas un vadības personāla atlīdzības izmaksas, tostarp veselības apdrošināšanas, veselības pārbaužu un redzes korekcijas līdzekļu kompensācijas izmaksas, šo noteikumu 14. punktā noteikto darbību īstenošanai. Izmaksas ir attiecināmas atbilstoši atbildīgās iestādes apstiprinātajai vienas vienības izmaksu metodikai, kas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vārdus "veselības pārbaužu", tā kā šīs izmaksas neietilpst personāla atlīdzības izmaksās.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16.2.2.2. 16.2.2.2. ārvalstu komandējumu izmaksas, tai skaitā projekta vadītājam un projekta īstenošanas personālam šo noteikumu 14.1., 14.2., 14.3., 14.4., 14.6. un 14.9. apakšpunktā minēto atbalstāmo darbību īstenošanai. Ārvalstu komandējumu izmaksas aprēķina un atlīdzina atbilstoši normatīvajiem aktiem par kārtību, kādā atlīdzināmi ar komandējumiem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ārvalstu komandējuma izmaksas atbilstoši VI vadlīniju Nr. 1.2. "Vadlīnijas attiecināmo izmaksu noteikšanai Eiropas Savienības kohēzijas politikas programmas 2021.-2027.gada plānošanas periodā" 47.punkta (62.zemsvītrā atsaucē) minētajam, attiecināmas projekta vadītājam un projekta īstenošanas personālam, līdz ar to lūdzam svītrot vārdus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darba vietas aprīkojuma iegādes īres vai nomas izmaksas ir attiecināmas projekta vadības un projekta īstenošanas personālam jaunu darba vietu radīšanai vai esošu darba vietu aprīkojuma atjaunošanai, uzturēšanai un remontam ne vairāk kā 3000 euro apmērā vienai darba vietai visā projekta īstenošanas laikā (ja projekta vadības un projekta īstenošanas personāls ir nodarbināts pilnu darba laiku, darba vietas aprīkojuma iegādes vai nomas izmaksas ir attiecināmas 100 procentu apmērā; ja projekta vadības un projekta īstenošanas personāls ir nodarbināts nepilnu darba laiku vai daļlaiku, darba vietas aprīkojuma iegādes izmaksas ir attiecināmas proporcionāli atlīdzības procentuālajam sadalījumam šo noteikumu 14.9. apakšpunktā minēto atbalstāmo darbību īstenošanai), ņemot vērā darbinieka iesaistes periodu projektā pret projekta kopējo īstenošanas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9.1.apakšpunktu darba vietas aprīkojuma izmaksas var plānot kā tiešās attiecināmās izmaksas tikai jaunradītu darba vietu aprīkošanai vai</w:t>
            </w:r>
            <w:r w:rsidR="00000000" w:rsidRPr="00000000" w:rsidDel="00000000">
              <w:rPr>
                <w:u w:val="single"/>
                <w:rtl w:val="0"/>
              </w:rPr>
              <w:t xml:space="preserve"> </w:t>
            </w:r>
            <w:r w:rsidR="00000000" w:rsidRPr="00000000" w:rsidDel="00000000">
              <w:rPr>
                <w:u w:val="single"/>
                <w:rtl w:val="0"/>
              </w:rPr>
              <w:t xml:space="preserve">gadījumos, ja esošo darba vietu aprīkojums ir nolietojies un tiek norakstīts.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16.2.3.apakšpunkta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darba vietas aprīkojuma iegādes īres vai nomas izmaksas ir attiecināmas projekta vadības un projekta īstenošanas personālam jaunu darba vietu radīšanai vai </w:t>
            </w:r>
            <w:r w:rsidR="00000000" w:rsidRPr="00000000" w:rsidDel="00000000">
              <w:rPr>
                <w:shd w:fill="#f1c40f" w:val="clear"/>
                <w:rtl w:val="0"/>
              </w:rPr>
              <w:t xml:space="preserve">gadījumos, ja esošo darba vietu aprīkojums ir nolietojies un tiek norakstīts</w:t>
            </w:r>
            <w:r w:rsidR="00000000" w:rsidRPr="00000000" w:rsidDel="00000000">
              <w:rPr>
                <w:rtl w:val="0"/>
              </w:rPr>
              <w:t xml:space="preserve">, uzturēšanai un remontam ne vairāk kā 3000 euro apmērā vienai darba vietai visā projekta īstenošanas laikā (ja projekta vadības un projekta īstenošanas personāls ir nodarbināts pilnu darba laiku, darba vietas aprīkojuma iegādes vai nomas izmaksas ir attiecināmas 100 procentu apmērā; ja projekta vadības un projekta īstenošanas personāls ir nodarbināts nepilnu darba laiku vai daļlaiku, darba vietas aprīkojuma iegādes izmaksas ir attiecināmas proporcionāli atlīdzības procentuālajam sadalījumam šo noteikumu 14.9. apakšpunktā minēto atbalstāmo darbību īstenošanai.</w:t>
            </w:r>
            <w:r w:rsidR="00000000" w:rsidRPr="00000000" w:rsidDel="00000000">
              <w:rPr>
                <w:shd w:fill="#f1c40f" w:val="clear"/>
                <w:rtl w:val="0"/>
              </w:rPr>
              <w:t xml:space="preserve"> Savukārt daļlaika izmaksu attiecināšanas principa gadījumā</w:t>
            </w:r>
            <w:r w:rsidR="00000000" w:rsidRPr="00000000" w:rsidDel="00000000">
              <w:rPr>
                <w:rtl w:val="0"/>
              </w:rPr>
              <w:t xml:space="preserve"> jāņem vērā darbinieka iesaistes periods projektā pret projekta kopējo īstenošanas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darba vietas aprīkojuma iegādes īres vai nomas izmaksas ir attiecināmas projekta vadības un projekta īstenošanas personālam jaunu darba vietu radīšanai vai esošu darba vietu aprīkojuma atjaunošanai, uzturēšanai un remontam ne vairāk kā 3000 euro apmērā vienai darba vietai visā projekta īstenošanas laikā (ja projekta vadības un projekta īstenošanas personāls ir nodarbināts pilnu darba laiku, darba vietas aprīkojuma iegādes vai nomas izmaksas ir attiecināmas 100 procentu apmērā; ja projekta vadības un projekta īstenošanas personāls ir nodarbināts nepilnu darba laiku vai daļlaiku, darba vietas aprīkojuma iegādes izmaksas ir attiecināmas proporcionāli atlīdzības procentuālajam sadalījumam šo noteikumu 14.9. apakšpunktā minēto atbalstāmo darbību īstenošanai), ņemot vērā darbinieka iesaistes periodu projektā pret projekta kopējo īstenošanas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apakšpunkta 16.2.3. redakciju, ņemot vērā, ka nosacījums par darbinieka iesaistes periodu projektā attiecas tikai uz daļlaiku. MK noteikumu projekta 16.2.3. apakšpunktā iekļauta stingrāka prasība, nekā to paredz VI Vadlīnijas attiecināmo izmaksu noteikšanai (Nr. 1.2.). Saskaņā ar  šo vadlīniju 9.5.punktu darba vietas aprīkojuma izmaksas ir attiecināmas atbilstoši slodzes apmēram – darbiniekiem, kuri strādā normālo darba laiku, aprīkojuma izmaksas ir attiecināmas 100% apmērā, </w:t>
            </w:r>
            <w:r w:rsidR="00000000" w:rsidRPr="00000000" w:rsidDel="00000000">
              <w:rPr>
                <w:u w:val="single"/>
                <w:rtl w:val="0"/>
              </w:rPr>
              <w:t xml:space="preserve">bet nepilna darba laika gadījumā – ņemot vērā attiecīgā darba laika proporciju. Savukārt, saskaņā ar vadlīniju 33.punktu daļlaika gadījumā jāņem vērā darbinieka iesaistes periods projektā pret projekta kopējo īstenošanas ilgumu un daļlaika proporcija darbam projektā</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16.2.7. informatīvo un publicitātes pasākumu izmaksas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47. un 50. pantam un kārtībai, kādā Eiropas Savienības fondu vadībā iesaistītās institūcijas nodrošina šo fondu ieviešanu 2021.–2027.gada plānošanas periodā, kā arī  Eiropas Savienības fondu 2021.–2027. gada plānošanas perioda un Atveseļošanas fonda komunikācijas un dizaina vadlīnijām šo noteikumu 14.6. un 14.10. apakšpunktos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16.2.7.apakšpunktā dzēst atsauci uz šo noteikumu 14.6.apakšpunktu. Lūdzam ņemt vērā, ka atsauce uz 14.6. apakšpunktā minēto darbību nav akceptējama, jo 16.2.7. apakšpunktā minētās izmaksas ir paredzētas projekta informatīvajiem un obligātās publicitātes pasākumiem par projekta īstenošanu saskaņā ar Regulas Nr.2021/1060) 47. un 50. pantiem.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atbalstāmo darbību ietvaros ir attiecināms pievienotās vērtības nodoklis atbilstoši Regulas Nr. 2021/1060 64. panta 1. punkta "c" apakšpunkta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papildināt ar skaidrojumu, norādot, ka tiks nodrošināts dubultā finansējuma novēršanas risks attiecībā uz PVN līdzekļu attiecināšanu/atgūšanu.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sadaļu "Finansējuma saņēmējs" papildināt ar informāciju, vai pasākuma ietvaros tiek, vai netiek sniegts atbalsts saimnieciskai darbībai un attiecīgi komercdarbības atbalsts. Ņemot vērā informāciju, ka "IeVP ir TM padotībā esoša valsts pārvaldes iestāde, kas īsteno valsts politiku apcietinājuma kā drošības līdzekļa un brīvības atņemšanas kā kriminālsoda izpildes jomā", pirmsšķietami secināms, ka IeVP darbojas valsts funkciju ietvaros, un finansējums pasākuma ietvaros nav kvalificējams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"Nevalstiskās organizācijas". Lūdzam papildināt anotāciju ar informāciju par biedrību un nodibinājumu iesaisti, nevalstisko organizāciju  iesaisti MK noteikumu projekta izstrādē, lai nodrošinātu atbilstību Ministru prezidenta rezolūcijā* noteiktajam vai skaidrot, kāpēc iesaiste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prezidenta 2021. gada 7. septembra rezolūciju Nr. 2021-1.1.1./50-50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specifiskā atbalsta mērķa Nr. 4.3.4. "Sekmēt aktīvu iekļaušanu, lai veicinātu vienlīdzīgas iespējas, nediskriminēšanu un aktīvu līdzdalību, kā arī uzlabotu nodarbinātību, jo īpaši attiecībā uz nelabvēlīgā situācijā esošām grupām" 4.3.4.7. pasākuma "Nodarbināmības priekšnosacījumu nodrošināšana ieslodzītajiem, pilnveidojot resocializācijas sistēmas efektivitāti, vienlaikus sekmējot bijušo ieslodzīto iekļaušanos, vienlīdzīgas iespējas un aktīvu līdzdalību"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noteikumu projektā, anotācijā, kā arī MK protokollēmuma projektā ir norādīts korekts 4.3.4.7.pasākuma nosaukums. Vēršam uzmanību, ka patreiz Programmas papildinājumā 4.3.4.7.pasākuma nosaukums norādīts šādi: "</w:t>
            </w:r>
            <w:r w:rsidR="00000000" w:rsidRPr="00000000" w:rsidDel="00000000">
              <w:rPr>
                <w:rtl w:val="0"/>
              </w:rPr>
              <w:t xml:space="preserve">Nodarbināmības priekšnosacījumu nodrošināšana ieslodzītajiem, pilnveidojot resocializācijas sistēmas efektivitāti, </w:t>
            </w:r>
            <w:r w:rsidR="00000000" w:rsidRPr="00000000" w:rsidDel="00000000">
              <w:rPr>
                <w:b w:val="1"/>
                <w:rtl w:val="0"/>
              </w:rPr>
              <w:t xml:space="preserve">sekmējot </w:t>
            </w:r>
            <w:r w:rsidR="00000000" w:rsidRPr="00000000" w:rsidDel="00000000">
              <w:rPr>
                <w:rtl w:val="0"/>
              </w:rPr>
              <w:t xml:space="preserve">bijušo ieslodzīto iekļaušanos, vienlīdzīgas iespējas un aktīvu līdzdalību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un norādīt noteikumu projektā vai anotācijā iznākuma rādītāju apjomu, kāds tiks sasniegts par pieejamo finansējumu (bez elastības finansējuma), ja attiecināms[1]. Vienlaikus, lūdzam pārliecināties, ka vadošajai iestādei ir pieejama aktualizēts rādītāju metodoloģijas apraksts, tā - lai noteikumu projektā noteiktie rezultāta, iznākuma rādītāji neatšķiras no rādītāju metodoloģijas aprakstā noteiktajiem rādītājiem, vai </w:t>
            </w:r>
            <w:r w:rsidR="00000000" w:rsidRPr="00000000" w:rsidDel="00000000">
              <w:rPr>
                <w:b w:val="1"/>
                <w:rtl w:val="0"/>
              </w:rPr>
              <w:t xml:space="preserve">aprēķina metodoloģija un aprēķina principi atbilst noteikumu projektā noteiktajam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noteikumu projektā un anotācijā iekļautās informācijas ir jābūt skaidri saprotamam, kā Programmā noteiktie SAM rādītāji tiks sasniegti caur vairākiem pasākumiem. T.i. ir jāspēj secināt, vai vienu vai vairāku MK noteikumu par pasākumu/ atlases kārtu īstenošanu ietvaros skaitot kopā tiks nodrošināta SAM noteiktā sasniedzamā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atbilstoši Programmas papildinājumā attiecīgajā SAM, pasākumā ir plānots arī elastības finansējums un informācija SAM rādītāju metodoloģijas aprakstā liecina, ka sasniedzamā rādītāja apjomu ietekmē īstenošanai pieejamā finansējuma apjoms. Informācija par sasniedzamo rādītāja apjomu par pieejamo finansējumu (bez elastības finansējuma) var būt iekļauta arī SAM rādītāju metodoloģijas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personāla atlīdzības izmaksas, kas ir projekta īstenošanas un vadības personāla atlīdzības izmaksas, tostarp veselības apdrošināšanas, veselības pārbaužu un redzes korekcijas līdzekļu kompensācijas izmaksas, šo noteikumu 14. punktā noteikto darbību īstenošanai. Izmaksas ir attiecināmas atbilstoši atbildīgās iestādes apstiprinātajai vienas vienības izmaksu metodikai, kas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MK noteikumu 16.1.apakšpunktā minēto vienkāršoto izmaksu metodiku plānots apstiprināt līdz projektu iesniegumu atlases izsludināšanai. Gadījumā, ja līdz projektu iesniegumu atlases izsludināšanai vienkāršoto izmaksu metodika nebūs apstiprināta, projekta iesniegumu atlasē netiks veikta personāla atlīdzības izmaksu apmēra pamatotības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16.2.2.2. 16.2.2.2. ārvalstu komandējumu izmaksas, tai skaitā projekta vadītājam un projekta īstenošanas personālam šo noteikumu 14.1., 14.2., 14.3., 14.4., 14.6. un 14.9. apakšpunktā minēto atbalstāmo darbību īstenošanai. Ārvalstu komandējumu izmaksas aprēķina un atlīdzina atbilstoši normatīvajiem aktiem par kārtību, kādā atlīdzināmi ar komandējumiem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16.2.2.2. apakšpunktā dzēst vārdu savienojumu "tai skaitā" un veikt tehisku precizējumu, dzēšot divreiz ievadīto apakšpunkta kārtas skaitli "16.2.2.2.".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16.2.4. transporta izmaksas šo noteikumu 14. punktā minēto atbalstāmo darbību īstenošanai piemērojot vadošās iestādes izstrādāto vienas vienības izmaksu metodiku "Vienas vienības izmaksu standarta likmes aprēķina un piemērošanas metodika 1 km izmaksām darbības programmas "Izaugsme un nodarbinātība" un Eiropas Savienības kohēzijas politikas programmas 2021.–2027.gadam īstenošanai, izņemot šo noteikumu 14.7. un 14.8. apakšpunktā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 "transporta </w:t>
            </w:r>
            <w:r w:rsidR="00000000" w:rsidRPr="00000000" w:rsidDel="00000000">
              <w:rPr>
                <w:b w:val="1"/>
                <w:u w:val="single"/>
                <w:rtl w:val="0"/>
              </w:rPr>
              <w:t xml:space="preserve">pakalpojumu </w:t>
            </w:r>
            <w:r w:rsidR="00000000" w:rsidRPr="00000000" w:rsidDel="00000000">
              <w:rPr>
                <w:rtl w:val="0"/>
              </w:rPr>
              <w:t xml:space="preserve">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16.2.4. transporta izmaksas šo noteikumu 14. punktā minēto atbalstāmo darbību īstenošanai piemērojot vadošās iestādes izstrādāto vienas vienības izmaksu metodiku "Vienas vienības izmaksu standarta likmes aprēķina un piemērošanas metodika 1 km izmaksām darbības programmas "Izaugsme un nodarbinātība" un Eiropas Savienības kohēzijas politikas programmas 2021.–2027.gadam īstenošanai, izņemot šo noteikumu 14.7. un 14.8. apakšpunktā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16.2.4. apakšpunktā norādīto apakšpunktu uzskaitījumu, uz kurām nav attiecināmas 16.2.4. apakšpunktā norādītās attiecināmās izmaksas,  ar 14.10.apakšpunktu.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16.2.5. telpu, materiāltehnisko līdzekļu un aprīkojuma īres vai nomas izmaksas šo noteikumu 14.punktā minēto atbalstāmo darbību īstenošanai, izņemot šo noteikumu 14.2., 14.5., 14.7., 14.8. un 14.9. apakšpunktā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minētajām izmaksām izstrādāt vienas vienības izmaksu metodiku, kā arī iespējams izstrādāt vienas vienības izmaksu metodiku 16.2.6. apakšpunktā noteiktajām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16.2.5. telpu, materiāltehnisko līdzekļu un aprīkojuma īres vai nomas izmaksas šo noteikumu 14.punktā minēto atbalstāmo darbību īstenošanai, izņemot šo noteikumu 14.2., 14.5., 14.7., 14.8. un 14.9. apakšpunktā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16.2.5.apakšpunktā norādīto apakšpunktu uzskaitījumu, uz kurām nav attiecināmas 16.2.5. apakšpunktā norādītās attiecināmās izmaksas,  ar 14.10.apakšpunktu.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16.2.6. grāmatu, izglītojošu materiālu, iekārtu un inventāra, tai skaitā palīgmateriālu, izmaksas no 50 līdz 500 euro par vienību šo noteikumu 14. punktā minēto atbalstāmo darbību īstenošanai, izņemot šo noteikumu 14.7., 14.8. un 14.9. apakšpunktā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16.2.6.. apakšpunktā norādīto apakšpunktu uzskaitījumu, uz kurām nav attiecināmas 16.2.6. apakšpunktā norādītās attiecināmās izmaksas,  ar 14.10.apakšpunktu.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16.2.8. materiāltehniskā nodrošinājuma iegādes izmaksas šo noteikumu 14. punktā minēto atbalstāmo darbību, izņemot šo noteikumu 14.2., 14.7. un 14.9. apakšpunktā minēto darbību īstenošanai, ja iegāde ir izdevīgāka nekā materiāltehniskā nodrošinājuma īres vai nomas izmaksas projekta īstenošanas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16.2.8.apakšpunktā norādīto apakšpunktu uzskaitījumu, uz kurām nav attiecināmas 16.2.8. apakšpunktā norādītās attiecināmās izmaksas,  ar 14.10.apakšpunktu.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16.2.8. materiāltehniskā nodrošinājuma iegādes izmaksas šo noteikumu 14. punktā minēto atbalstāmo darbību, izņemot šo noteikumu 14.2., 14.7. un 14.9. apakšpunktā minēto darbību īstenošanai, ja iegāde ir izdevīgāka nekā materiāltehniskā nodrošinājuma īres vai nomas izmaksas projekta īstenošanas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16.2.8. apakšpunktā minēto materiāltehnisko  nodrošinājumu precizēt vai papildināt, lai ir skaidri saprotams, ka ar materiāltehniskā nodrošinājuma iegādi tiek saprasta pamatlīdzekļu iegāde. Ņemot vērā, ka šo noteikumu 22.8. apakšpunkts nosaka, ka 16.2.8. apakšpunktā minētajiem materiāltehniskajiem līdzekļiem ir piemērojamas pamatlīdzekļu nolietojuma normas, ar materiāltehnisko nodrošinājumu 16.2.8. apakšpunktā ir saprotama pamatlīdzekļu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projekta īstenošanas laikā atbildīgā iestāde un vadošā iestāde izstrādā horizontālo vienas vienības standarta likmes metodiku kādām no šo noteikumu 16. punktā minētajām izmaksām, tām piemēro atbildīgās iestādes un vadošās iestādes izstrādāto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aizstāt vārdus "vienas vienības standarta likmes metodiku" ar "vienkāršoto izmaksu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iesnieguma vērtēšanā piedalās divi atbildīgās iestādes pārstāvji, viens Labklājības ministrijas pārstāvis, viens Tieslietu ministrijas pārstāvis un sadarbības iestādes pārstāvji, bet vadošās iestādes pārstāvis nepieciešamības gadījumā var piedalīties novērotāja statusā.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dzēst noteikumu projekta 21. punktu, ņemot vērā, ka vērtēšanas komisijas sastāvs ir noteikts Eiropas Savienības fondu 2021.—2027. gada plānošanas perioda vadības likuma 21.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Īstenojot projektu,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finansējuma saņēmējs izstrādā nosacījumus, kā tas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 Kā arī, aicinām noteikumos iekļauj prasību, ka finansējuma saņēmējs paraksta interešu konflikta neesamības apliecinājumu. Vēršam uzmanību, ka apliecinājumā obligāti ietver atsauci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nodrošina informācijas un publicitātes pasākumus saskaņā ar Regulas Nr. 2021/1060 47. pantu un 50. pantu un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arī ar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uzkrāj informāciju par atbalstu saņēmušām šo noteikumu 3. punktā minētajām personām atbilstoši Eiropas Parlamenta un Padomes 2021. gada 24. jūnija Regulas (ES) Nr. 2021/1057, ar ko izveido Eiropas Sociālo fondu Plus (ESF+) un atceļ Regulu (ES) Nr. 1296/2013 1. pielikumam un reizi gadā iesniedz sadarbības iestādē apkopotus datus par ESF+ kopējiem tūlītējiem rezultāta rādītājiem saskaņā ar normatīvajiem aktiem, kas nosaka Eiropas Savienības fondu projektu pārbaužu veikšanas kārtību 2021.–2027. gada plānošanas periodā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2022.gada 13.decembra protokollēmuma Nr. 64 6. § 3. punktā minēto, lūgums sniegt skaidrojumu, nepieciešamības gadījumā papildinot noteikumu projektu, kā finansējuma saņēmējs pārbaudīs mērķa grupas dalībnieka atbilstību dalībai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uzkrāj informāciju par atbalstu saņēmušām šo noteikumu 3. punktā minētajām personām atbilstoši Eiropas Parlamenta un Padomes 2021. gada 24. jūnija Regulas (ES) Nr. 2021/1057, ar ko izveido Eiropas Sociālo fondu Plus (ESF+) un atceļ Regulu (ES) Nr. 1296/2013 1. pielikumam un reizi gadā iesniedz sadarbības iestādē apkopotus datus par ESF+ kopējiem tūlītējiem rezultāta rādītājiem saskaņā ar normatīvajiem aktiem, kas nosaka Eiropas Savienības fondu projektu pārbaužu veikšanas kārtību 2021.–2027. gada plānošanas periodā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noteikumu atsevišķā punktā izdalīt, kuru šo MK noteikumu 14.punktā minēto darbību ietvaros iesaistītie mērķa grupas dalībnieki tiks iekļauti šo noteikumu 4.1.2. un 4.2.2.apakšpunktā norādītajā iznākuma rādītājā.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finansējuma saņēmējam, veicot pētījumus, lai pilnveidotu resocializācijas sistēmas efektivitāti, analizējot esošos riska un vajadzību novērtēšanas instrumentus un īstenotās resocializācijas programmas, ir tiesības iegūt informāciju, t.sk. personas datus no Valsts probācijas dienesta par Valsts probācijas dienesta esošajiem un bijušajiem klientiem, kā arī informāciju, tajā skaitā personas datus no Iekšlietu ministrijas Informācijas centra par esošo un bijušo ieslodzīto sodāmībām;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vārdus "finansējuma saņēmējs" , ņemot vērā, ka dublē 22. punkta sākumu.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nodrošina horizontālā principa "Vienlīdzība, iekļaušana, nediskriminācija un pamattiesību ievērošana" vispārīgas un specifiskas darbības, kas veicina vienlīdzību, iekļaušanu, nediskrimināciju un pamattiesību ievērošanu, īpaši saistībā ar resocializācijas darba un resocializācijas pakalpojumu sniegšanas jomā strādājošo izpratnes un informētības paaugstināšanas pasākumu īstenošanu par nediskrimināciju pēc invaliditātes, vecuma, dzimuma, etniskās piederības u.c. pazīmēm, vienlīdzīgu iespēju principu ievērošanu, tostarp apstrādā datus par horizontālā principa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šī punkta izpratnei, aicinām izvērtēt nepieciešamību redakcionāli precizēt, ko nozīmē datu apstrāde un izteikt punkta beigas, piemēram, šādā redakcijā: "[...], tostarp uzkrāj datus par horizontālā principa rādītājiem un ziņo tos sadarbības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iesniedzējs nodrošina, ka projekta īstenošanas laikā tiks nodrošināta "Nenodarīt būtisku kaitējumu" principa ievērošana, paredzot atbilstošas prasības līgumos ar piegādātājiem un pakalpojumu sniedzējiem (kur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vārdus "projekta iesniedzējs" uz vārdiem "finansējuma saņēmējs".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norādot  vai plānotajām investīcijām būs tieša, netieša, vai nebūs ietekmes uz horizontālajiem principiem: “Vienlīdzība, iekļaušana, nediskriminācija un pamattiesību ievērošana”; “Klimatdrošināšana”; “Energoefektivitāte pirmajā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anotācijas sadaļas "Projekta īstenošanai tiks piemērotas šādas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2.punktā par netiešajām izmaksām precizēt, ka likme rēķināma no plānotajām personāla </w:t>
            </w:r>
            <w:r w:rsidR="00000000" w:rsidRPr="00000000" w:rsidDel="00000000">
              <w:rPr>
                <w:b w:val="1"/>
                <w:u w:val="single"/>
                <w:rtl w:val="0"/>
              </w:rPr>
              <w:t xml:space="preserve">atlīdzības </w:t>
            </w:r>
            <w:r w:rsidR="00000000" w:rsidRPr="00000000" w:rsidDel="00000000">
              <w:rPr>
                <w:rtl w:val="0"/>
              </w:rPr>
              <w:t xml:space="preserve">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3.punktā precizēt teikuma beigas šādā redakcijā "un citas vadošās</w:t>
            </w:r>
            <w:r w:rsidR="00000000" w:rsidRPr="00000000" w:rsidDel="00000000">
              <w:rPr>
                <w:b w:val="1"/>
                <w:rtl w:val="0"/>
              </w:rPr>
              <w:t xml:space="preserve"> </w:t>
            </w:r>
            <w:r w:rsidR="00000000" w:rsidRPr="00000000" w:rsidDel="00000000">
              <w:rPr>
                <w:b w:val="1"/>
                <w:u w:val="single"/>
                <w:rtl w:val="0"/>
              </w:rPr>
              <w:t xml:space="preserve">vai atbildīgās</w:t>
            </w:r>
            <w:r w:rsidR="00000000" w:rsidRPr="00000000" w:rsidDel="00000000">
              <w:rPr>
                <w:rtl w:val="0"/>
              </w:rPr>
              <w:t xml:space="preserve"> iestādes </w:t>
            </w:r>
            <w:r w:rsidR="00000000" w:rsidRPr="00000000" w:rsidDel="00000000">
              <w:rPr>
                <w:b w:val="1"/>
                <w:u w:val="single"/>
                <w:rtl w:val="0"/>
              </w:rPr>
              <w:t xml:space="preserve">vienkāršoto </w:t>
            </w:r>
            <w:r w:rsidR="00000000" w:rsidRPr="00000000" w:rsidDel="00000000">
              <w:rPr>
                <w:rtl w:val="0"/>
              </w:rPr>
              <w:t xml:space="preserve">izmaksu metodikas, kas tiks izstrādātas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tehniskus precizējumus anotācijas 1.3.apakšpunkta "Pašreizējā situācija, problēmas un risinājumi" 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īstenošanai tiks piemērotas šādas vienkāršotās izmaksas:" aizstājot minēto pasākuma nosaukumu: "Nodarbināmības priekšnosacījumu nodrošināšana ieslodzītajiem, </w:t>
            </w:r>
            <w:r w:rsidR="00000000" w:rsidRPr="00000000" w:rsidDel="00000000">
              <w:rPr>
                <w:u w:val="single"/>
                <w:rtl w:val="0"/>
              </w:rPr>
              <w:t xml:space="preserve">t.sk. pētot ārvalstu pieredzi</w:t>
            </w:r>
            <w:r w:rsidR="00000000" w:rsidRPr="00000000" w:rsidDel="00000000">
              <w:rPr>
                <w:rtl w:val="0"/>
              </w:rPr>
              <w:t xml:space="preserve">, pilnveidojot resocializācijas sistēmas efektivitāti,  sekmējot bijušo ieslodzīto iekļaušanos, vienlīdzīgas iespējas un aktīvu līdzdalību" uz "Nodarbināmības priekšnosacījumu nodrošināšana ieslodzītajiem, pilnveidojot resocializācijas sistēmas efektivitāti, </w:t>
            </w:r>
            <w:r w:rsidR="00000000" w:rsidRPr="00000000" w:rsidDel="00000000">
              <w:rPr>
                <w:u w:val="single"/>
                <w:rtl w:val="0"/>
              </w:rPr>
              <w:t xml:space="preserve">vienlaikus</w:t>
            </w:r>
            <w:r w:rsidR="00000000" w:rsidRPr="00000000" w:rsidDel="00000000">
              <w:rPr>
                <w:rtl w:val="0"/>
              </w:rPr>
              <w:t xml:space="preserve"> sekmējot bijušo ieslodzīto iekļaušanos, vienlīdzīgas iespējas un aktīvu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apstrāde" aizstājot norādīto atsauci uz šo noteikumu 12.punktu ar uz šo noteikumu 14.punktu;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"Principa "Nenodarīt būtisku kaitējumu" (turpmāk - NBK) ievērošana" dzēšot dublējošo rindkopu "Projekta īstenošana 4.3.4.7. pasākumā (..)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Pavlovskis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5.1.apakšpunktu, norādot tādas pašas summas pa gadiem kā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16.2.8. apakšpunktam projekta ietvaros ir paredzēta materiāltehnisko līdzekļu iegāde, līdz ar to lūdzam papildināt anotācijas 3.sadaļu ar skaidrojumu, kā pēc projekta pabeigšanas tiks nodrošināta iegādāto materiāltehnisko vienību uzturēšana.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27.06.2023.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27.06.2023.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Atzinumi_23-TA-1175.docx</dc:title>
</cp:coreProperties>
</file>

<file path=docProps/custom.xml><?xml version="1.0" encoding="utf-8"?>
<Properties xmlns="http://schemas.openxmlformats.org/officeDocument/2006/custom-properties" xmlns:vt="http://schemas.openxmlformats.org/officeDocument/2006/docPropsVTypes"/>
</file>