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2.komponentes ''Digitālā transformācija'' 2.3. reformu un investīciju virziena ''Digitālās prasmes''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un 48. punktā tiek norādīts, ka Valsts izglītības attīstības aģentūra īstenos projektu sadarbībā ar konsultatīvajiem partneriem  (Labklājības ministriju – konsultējot par īstenotajiem pieaugušo izglītības pasākumiem un nodarbinātību, Ekonomikas ministriju – konsultējot par ekonomikas un darba tirgus attīstības tendencēm un prognozēm, Vides aizsardzības un reģionālās attīstības ministriju – konsultējot par digitālās transformācijas pasākumiem, Nodarbinātības valsts aģentūru – konsultējot par iespējamo datu apmaiņu un datubāžu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vērš uzmanību, ka starp konsultatīvajiem partneriem nav iekļauts neviens sociālo partneru pārstāvis, ne nozaru ekspertu padomes pārstāvji, ne izglītības iestāžu pārstāvji. LTRK aicina papildināt konsultatīvo partneru loku, lai varētu pilnvērtīgi sekmēt projekta izstrādes un īstenošanas atbilstību aktuālajām darba tirgus un nozaru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vairākos Projekta punktos (10.1., 16.6., 31.3., 36., u.c.) tiek pieminētas mērķa grupas, tomēr nerodas skaidrība, kas ir šīs mērķa grupas. LTRK lūdz precizēt, par kādām mērķa grupām Projektā tiek runāts.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13.12.2022. 18.39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13.12.2022. 18.39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